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南昌市机关事务管理局</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南昌市机关事务管理局概况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南昌市机关事务管理局2021年部门预算情况说明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南昌市机关事务管理局</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hint="eastAsia" w:ascii="仿宋_GB2312" w:eastAsia="仿宋_GB2312"/>
          <w:b/>
          <w:sz w:val="28"/>
          <w:szCs w:val="28"/>
        </w:rPr>
      </w:pPr>
    </w:p>
    <w:p>
      <w:pPr>
        <w:widowControl/>
        <w:spacing w:line="520" w:lineRule="exact"/>
        <w:ind w:firstLine="562" w:firstLineChars="200"/>
        <w:rPr>
          <w:rFonts w:hint="eastAsia" w:ascii="仿宋_GB2312" w:eastAsia="仿宋_GB2312"/>
          <w:b/>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南昌市机关事务管理局概况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40" w:lineRule="exact"/>
        <w:ind w:firstLine="560" w:firstLineChars="200"/>
        <w:rPr>
          <w:rFonts w:hint="eastAsia" w:ascii="仿宋_GB2312" w:eastAsia="仿宋_GB2312"/>
          <w:sz w:val="28"/>
          <w:szCs w:val="28"/>
          <w:highlight w:val="yellow"/>
        </w:rPr>
      </w:pPr>
      <w:r>
        <w:rPr>
          <w:rFonts w:hint="eastAsia" w:ascii="仿宋_GB2312" w:eastAsia="仿宋_GB2312"/>
          <w:sz w:val="28"/>
          <w:szCs w:val="28"/>
          <w:highlight w:val="none"/>
        </w:rPr>
        <w:t>南昌市机关事务管理局是主管</w:t>
      </w:r>
      <w:r>
        <w:rPr>
          <w:rFonts w:hint="eastAsia" w:ascii="仿宋_GB2312" w:eastAsia="仿宋_GB2312"/>
          <w:sz w:val="28"/>
          <w:szCs w:val="28"/>
          <w:highlight w:val="none"/>
          <w:lang w:val="en-US" w:eastAsia="zh-CN"/>
        </w:rPr>
        <w:t>全市机关事务</w:t>
      </w:r>
      <w:r>
        <w:rPr>
          <w:rFonts w:hint="eastAsia" w:ascii="仿宋_GB2312" w:eastAsia="仿宋_GB2312"/>
          <w:sz w:val="28"/>
          <w:szCs w:val="28"/>
          <w:highlight w:val="none"/>
        </w:rPr>
        <w:t>工作直属机构，主要职责是：</w:t>
      </w:r>
      <w:r>
        <w:rPr>
          <w:rFonts w:hint="eastAsia" w:ascii="仿宋_GB2312" w:hAnsi="Times New Roman" w:eastAsia="仿宋_GB2312" w:cs="Times New Roman"/>
          <w:kern w:val="2"/>
          <w:sz w:val="28"/>
          <w:szCs w:val="28"/>
          <w:highlight w:val="none"/>
          <w:lang w:val="en-US" w:eastAsia="zh-CN" w:bidi="ar-SA"/>
        </w:rPr>
        <w:t>负</w:t>
      </w:r>
      <w:r>
        <w:rPr>
          <w:rFonts w:hint="eastAsia" w:ascii="仿宋_GB2312" w:hAnsi="Times New Roman" w:eastAsia="仿宋_GB2312" w:cs="Times New Roman"/>
          <w:kern w:val="2"/>
          <w:sz w:val="28"/>
          <w:szCs w:val="28"/>
          <w:lang w:val="en-US" w:eastAsia="zh-CN" w:bidi="ar-SA"/>
        </w:rPr>
        <w:t>责组织和实施全市机关事务工作，负责全市公务用车编制管理工作及市级首脑机关公务用车的保障工作，负责市级首脑机关的财务管理工作，负责全市公共机构节能工作，负责市直机关办公用房的管理工作，负责行政中心区域内的消防安防工作，负责红谷滩行政中心区域内的环境卫生管理、绿化美化管理、水电设备管理、餐饮供应管理工作，承办市委、市纪委、市人大、市政府、市政协大型会务的保障工作，承办市委、市政府交办的其他工作等。</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南昌市机关事务管理局2021年的主要工作任务是：</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一）着力夯实党建工作。一是深入学习贯彻习近平新时代中国特色社会主义思想、习近平总书记重要讲话和重要指示批示精神，通过党组中心组学习、“三会一课”等及时进行思想理论“充电”。二是进一步完善党建大巡查工作制度，形成长效常态，将巡查到的问题作为党组会议题，及时下达整改要求。三是抓好党员日常教育管理，加强对基层党建工作的支持力度，将发展党员的阵地进一步向基层倾斜。四是以零容忍态度严肃对待局系统党员干部违纪违规问题，全面从严管党治党，形成强有力、全覆盖的震慑态势，确保机关事务系统内部政治生态风清气正。</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二）着力加强干部队伍建设。一是积极推动局机关干部轮岗交流，实现轮岗交流的制度化和常态化，真正把想干事、能干事、会干事，善作为、敢担当的干部选拔到领导岗位上来。二是转变工作作风，强化执行力、落实力，做到令行禁止、敢于担当，加强对工作要求执行和落实情况的督查，做到有布置、有落实、有检查，强化对落实和执行的监督和指导。三是做好选人用人，利用公务员考试招录一批、事业单位考试招录一批、社会人才聘用一批，逐步健全机关事务人才基础，加强专业性人才选拔培养。</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三）着力深化办公用房和资产管理。一是继续推进市本级党政机关事业单位闲置土地房产盘活工作。形成方案，组织和督查全市市本级党政机关事业单位闲置土地房产盘活工作。二是完成机构改革调整的第四批次办公用房调配方案，继续跟进、协调和推进因机构改革调整的第四批次办公用房的到位。三是完成2021年度全市性办公用房联合巡检工作。会同市委办公厅、市政府办公厅会同市管局、市发改委等12家单位，组成4个督查组对全市党政机关事业单位办公用房进行2021年度联合巡检。</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四）着力推进公务用车监督管理。一是适时开展《南昌市党政机关公务用车管理实施细则》贯彻执行情况的检查工作。二是继续做好市党政机关公务出行用车服务保障工作，加强对市级公车服务平台的指导与监督管理。三是加强车队督导、安全、服务稽查工作，并完善相关管理制度，做好市公车平台的“保障有力、安全行驶、优质服务、成本控制”的各项工作，适时开展驾驶员招聘工作。</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五）着力贯彻公共机构节能节约。一是开展2020年度全市公共机构节能考核，迎接全省公共机构节能考核。跟踪上级考核方式调整，制定“十三五”公共机构节能考核细则和工作方案。二是根据《南昌市公共机构合同能源管理暂行办法》，推进我市集中组织合同能源管理试点工作，深化合同能源管理。三是组织开展全市公共机构节能“十三五”先进集体和先进个人评选表彰工作，启动公共机构节约能源资源“十四五”规划编制。</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六）着力强化经费运行管理。一是提早谋划，加大资金筹措力度。资金压力的传导预计在明年三季度就会显现，我局将积极与相关部门沟通，确保争取到资金支持，确保机关事务各项工作运行畅通。二是强化预算绩效管理。根据全年经费运行状况做好财务决算工作和做好来年预算准备工作，确保资金使用合理规范、取得实效。三是继续坚持厉行节约。坚决完成年初确定的各项费用控制目标，做好部门决算工作及对财务运行情况的监督。</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七）着力增强服务保障能力。一是启动《服务保障管理规定》的制定工作，进一步规范我局服务保障行为。二是针对疫情防控常态化下的形势要求，进一步加强市行政中心物业服务管理工作，确保大院防疫消杀安全。三是利用我局建立的全市大型会议活动服务保障机制，积极延伸职能，继续做好世界VR产业大会等会议活动保障工作。</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八）着力建设智慧机关事务。我局将大力推动新一代宽带无线移动通信网技术运用于全市机关事务管理工作中。待全市机构改革完成后，继续组织实施行政中心智能化门禁系统二期工程，包含停车场智能化管理、会务预约、设备监测、资产管理、节能平台等后勤管理子系统建设，推进实施资产管理、物业服务等领域无线通信技术的运用，努力提升全市机关事务服务保障管理监督科技化和智能化水平。</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九）着力履行安全保卫工作。一是做好行政中心消防维修改造工程项目协调、进度督促、质量监督和安全管理工作。加强对行政中心所有施工项目施工现场安全管理，督促施工单位认真落实安全责任制，做到安全施工，文明施工。二是做好大院的安全职守工作，协助市信访局做好上访群众的劝说和引导工作，杜绝非上访人员冲击大院楼内，切实维护好行政中心机关正常的办公秩序。三是稳步推进“平安南昌”、“依法治市”建设及挂点帮创工作，积极开展好“依法治市”和新的五年普法教育工作。</w:t>
      </w:r>
    </w:p>
    <w:p>
      <w:pPr>
        <w:spacing w:line="540" w:lineRule="exact"/>
        <w:ind w:firstLine="560" w:firstLineChars="20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十）着力优化服务中心职能。一是打造服务大中心。以即将进行的事业单位改革为契机，强化局属服务中心职能、实现管服分离，整合局属各中心资源，打破岗位限制，实现人力资源的优化和交流互通。二是加强生活服务中心建设。深入推进机关后勤各项生活服务保障精细、优质、高效，精心打造餐饮特色服务，提升菜肴品质。</w:t>
      </w:r>
    </w:p>
    <w:p>
      <w:pPr>
        <w:spacing w:line="540" w:lineRule="exact"/>
        <w:ind w:firstLine="560" w:firstLineChars="200"/>
        <w:rPr>
          <w:rFonts w:hint="eastAsia" w:ascii="仿宋_GB2312" w:hAnsi="Times New Roman" w:eastAsia="仿宋_GB2312" w:cs="Times New Roman"/>
          <w:kern w:val="2"/>
          <w:sz w:val="28"/>
          <w:szCs w:val="28"/>
          <w:highlight w:val="yellow"/>
          <w:lang w:val="en-US" w:eastAsia="zh-CN" w:bidi="ar-SA"/>
        </w:rPr>
      </w:pPr>
      <w:r>
        <w:rPr>
          <w:rFonts w:hint="eastAsia" w:ascii="仿宋_GB2312" w:hAnsi="Times New Roman" w:eastAsia="仿宋_GB2312" w:cs="Times New Roman"/>
          <w:kern w:val="2"/>
          <w:sz w:val="28"/>
          <w:szCs w:val="28"/>
          <w:lang w:val="en-US" w:eastAsia="zh-CN" w:bidi="ar-SA"/>
        </w:rPr>
        <w:t>（十一）着力提升幼保幼教质量。一是强化园所管理，完善激励机制，提升教职工对幼儿园发展前景的信心；加强全园教师的教育教学基本功的培训与提高，鼓励教师自学自练，提高相应的专业能力；重视师德建设，确保安全性，营造良好的育人环境，打造具有特色的园所文化。二是利用家长会、家长开放日、家长助教、幼儿成长档案、微信公众平台等交流方式，加强家院联系，增进家园共育。三是做好各项传染病的预防、控制和疫情管理工作，定期做好传染病预防等相关健康教育知识的宣传培训；继续完善儿童膳食营养工作，科学合理安排食谱，确保幼儿安全健康。</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南昌市机关事务管理局共有预算单位</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个，包括南昌市机关事务管理局本级和</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个所属二级预算单位，其中，行政机关</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个：南昌市机关事务管理局</w:t>
      </w:r>
      <w:r>
        <w:rPr>
          <w:rFonts w:hint="eastAsia" w:ascii="仿宋_GB2312" w:eastAsia="仿宋_GB2312"/>
          <w:sz w:val="28"/>
          <w:szCs w:val="28"/>
          <w:highlight w:val="none"/>
          <w:lang w:val="en-US" w:eastAsia="zh-CN"/>
        </w:rPr>
        <w:t>本级</w:t>
      </w:r>
      <w:r>
        <w:rPr>
          <w:rFonts w:hint="eastAsia" w:ascii="仿宋_GB2312" w:eastAsia="仿宋_GB2312"/>
          <w:sz w:val="28"/>
          <w:szCs w:val="28"/>
          <w:highlight w:val="none"/>
        </w:rPr>
        <w:t>；全额拨款事业单位</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个：南昌市人大机关服务中心,南昌市政府机关服务中心,南昌市委机关服务中心,南昌市政协机关服务中心,南昌市直机关车辆管理中心,南昌市委机关幼儿园,南昌市红谷大厦服务中心,南昌市保育院,南昌市市直机关生活服务中心</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编制人数</w:t>
      </w:r>
      <w:r>
        <w:rPr>
          <w:rFonts w:hint="eastAsia" w:ascii="仿宋_GB2312" w:hAnsi="宋体" w:eastAsia="仿宋_GB2312"/>
          <w:sz w:val="30"/>
          <w:szCs w:val="30"/>
          <w:highlight w:val="none"/>
          <w:lang w:val="en-US" w:eastAsia="zh-CN"/>
        </w:rPr>
        <w:t>278</w:t>
      </w:r>
      <w:r>
        <w:rPr>
          <w:rFonts w:hint="eastAsia" w:ascii="仿宋_GB2312" w:eastAsia="仿宋_GB2312"/>
          <w:sz w:val="28"/>
          <w:szCs w:val="28"/>
          <w:highlight w:val="none"/>
        </w:rPr>
        <w:t>人，其中；行政编制</w:t>
      </w:r>
      <w:r>
        <w:rPr>
          <w:rFonts w:hint="eastAsia" w:ascii="仿宋_GB2312" w:eastAsia="仿宋_GB2312"/>
          <w:sz w:val="28"/>
          <w:szCs w:val="28"/>
          <w:highlight w:val="none"/>
          <w:lang w:val="en-US" w:eastAsia="zh-CN"/>
        </w:rPr>
        <w:t>80</w:t>
      </w:r>
      <w:r>
        <w:rPr>
          <w:rFonts w:hint="eastAsia" w:ascii="仿宋_GB2312" w:eastAsia="仿宋_GB2312"/>
          <w:sz w:val="28"/>
          <w:szCs w:val="28"/>
          <w:highlight w:val="none"/>
        </w:rPr>
        <w:t>人、全部补助事业编制</w:t>
      </w:r>
      <w:r>
        <w:rPr>
          <w:rFonts w:hint="eastAsia" w:ascii="仿宋_GB2312" w:eastAsia="仿宋_GB2312"/>
          <w:sz w:val="28"/>
          <w:szCs w:val="28"/>
          <w:highlight w:val="none"/>
          <w:lang w:val="en-US" w:eastAsia="zh-CN"/>
        </w:rPr>
        <w:t>198</w:t>
      </w:r>
      <w:r>
        <w:rPr>
          <w:rFonts w:hint="eastAsia" w:ascii="仿宋_GB2312" w:eastAsia="仿宋_GB2312"/>
          <w:sz w:val="28"/>
          <w:szCs w:val="28"/>
          <w:highlight w:val="none"/>
        </w:rPr>
        <w:t>人；实有人数</w:t>
      </w:r>
      <w:r>
        <w:rPr>
          <w:rFonts w:hint="eastAsia" w:ascii="仿宋_GB2312" w:hAnsi="宋体" w:eastAsia="仿宋_GB2312"/>
          <w:sz w:val="30"/>
          <w:szCs w:val="30"/>
          <w:highlight w:val="none"/>
          <w:lang w:val="en-US" w:eastAsia="zh-CN"/>
        </w:rPr>
        <w:t>404</w:t>
      </w:r>
      <w:r>
        <w:rPr>
          <w:rFonts w:hint="eastAsia" w:ascii="仿宋_GB2312" w:eastAsia="仿宋_GB2312"/>
          <w:sz w:val="28"/>
          <w:szCs w:val="28"/>
          <w:highlight w:val="none"/>
        </w:rPr>
        <w:t>人，其中：在职人数</w:t>
      </w:r>
      <w:r>
        <w:rPr>
          <w:rFonts w:hint="eastAsia" w:ascii="仿宋_GB2312" w:hAnsi="宋体" w:eastAsia="仿宋_GB2312"/>
          <w:sz w:val="30"/>
          <w:szCs w:val="30"/>
          <w:highlight w:val="none"/>
          <w:lang w:val="en-US" w:eastAsia="zh-CN"/>
        </w:rPr>
        <w:t>239</w:t>
      </w:r>
      <w:r>
        <w:rPr>
          <w:rFonts w:hint="eastAsia" w:ascii="仿宋_GB2312" w:eastAsia="仿宋_GB2312"/>
          <w:sz w:val="28"/>
          <w:szCs w:val="28"/>
          <w:highlight w:val="none"/>
        </w:rPr>
        <w:t>人，包括行政人员</w:t>
      </w:r>
      <w:r>
        <w:rPr>
          <w:rFonts w:hint="eastAsia" w:ascii="仿宋_GB2312" w:hAnsi="宋体" w:eastAsia="仿宋_GB2312"/>
          <w:sz w:val="30"/>
          <w:szCs w:val="30"/>
          <w:highlight w:val="none"/>
          <w:lang w:val="en-US" w:eastAsia="zh-CN"/>
        </w:rPr>
        <w:t>83</w:t>
      </w:r>
      <w:r>
        <w:rPr>
          <w:rFonts w:hint="eastAsia" w:ascii="仿宋_GB2312" w:eastAsia="仿宋_GB2312"/>
          <w:sz w:val="28"/>
          <w:szCs w:val="28"/>
          <w:highlight w:val="none"/>
        </w:rPr>
        <w:t>人、全部补助事业人员</w:t>
      </w:r>
      <w:r>
        <w:rPr>
          <w:rFonts w:hint="eastAsia" w:ascii="仿宋_GB2312" w:hAnsi="宋体" w:eastAsia="仿宋_GB2312"/>
          <w:sz w:val="30"/>
          <w:szCs w:val="30"/>
          <w:highlight w:val="none"/>
          <w:lang w:val="en-US" w:eastAsia="zh-CN"/>
        </w:rPr>
        <w:t>156</w:t>
      </w:r>
      <w:r>
        <w:rPr>
          <w:rFonts w:hint="eastAsia" w:ascii="仿宋_GB2312" w:eastAsia="仿宋_GB2312"/>
          <w:sz w:val="28"/>
          <w:szCs w:val="28"/>
          <w:highlight w:val="none"/>
        </w:rPr>
        <w:t>人；离休人员</w:t>
      </w:r>
      <w:r>
        <w:rPr>
          <w:rFonts w:hint="eastAsia" w:ascii="仿宋_GB2312" w:hAnsi="宋体" w:eastAsia="仿宋_GB2312"/>
          <w:sz w:val="30"/>
          <w:szCs w:val="30"/>
          <w:highlight w:val="none"/>
          <w:lang w:val="en-US" w:eastAsia="zh-CN"/>
        </w:rPr>
        <w:t>1</w:t>
      </w:r>
      <w:r>
        <w:rPr>
          <w:rFonts w:hint="eastAsia" w:ascii="仿宋_GB2312" w:eastAsia="仿宋_GB2312"/>
          <w:sz w:val="28"/>
          <w:szCs w:val="28"/>
          <w:highlight w:val="none"/>
        </w:rPr>
        <w:t>人；退休人员</w:t>
      </w:r>
      <w:r>
        <w:rPr>
          <w:rFonts w:hint="eastAsia" w:ascii="仿宋_GB2312" w:hAnsi="宋体" w:eastAsia="仿宋_GB2312"/>
          <w:sz w:val="30"/>
          <w:szCs w:val="30"/>
          <w:highlight w:val="none"/>
          <w:lang w:val="en-US" w:eastAsia="zh-CN"/>
        </w:rPr>
        <w:t>164</w:t>
      </w:r>
      <w:r>
        <w:rPr>
          <w:rFonts w:hint="eastAsia" w:ascii="仿宋_GB2312" w:eastAsia="仿宋_GB2312"/>
          <w:sz w:val="28"/>
          <w:szCs w:val="28"/>
          <w:highlight w:val="none"/>
        </w:rPr>
        <w:t>人。</w:t>
      </w:r>
    </w:p>
    <w:p>
      <w:pPr>
        <w:rPr>
          <w:rFonts w:hint="eastAsia" w:ascii="仿宋_GB2312" w:eastAsia="仿宋_GB2312"/>
          <w:sz w:val="28"/>
          <w:szCs w:val="28"/>
          <w:highlight w:val="none"/>
        </w:rPr>
      </w:pPr>
      <w:r>
        <w:rPr>
          <w:rFonts w:hint="eastAsia" w:ascii="仿宋_GB2312" w:eastAsia="仿宋_GB2312"/>
          <w:sz w:val="28"/>
          <w:szCs w:val="28"/>
          <w:highlight w:val="none"/>
        </w:rPr>
        <w:br w:type="page"/>
      </w:r>
    </w:p>
    <w:p>
      <w:pPr>
        <w:pStyle w:val="2"/>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南昌市机关事务管理局2021年部门预算情况说明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highlight w:val="none"/>
        </w:rPr>
        <w:t>南昌市机关事务管理局</w:t>
      </w:r>
      <w:r>
        <w:rPr>
          <w:rFonts w:hint="eastAsia" w:ascii="仿宋_GB2312" w:eastAsia="仿宋_GB2312"/>
          <w:sz w:val="28"/>
          <w:szCs w:val="28"/>
        </w:rPr>
        <w:t>收入预算总额为</w:t>
      </w:r>
      <w:r>
        <w:rPr>
          <w:rFonts w:hint="eastAsia" w:ascii="仿宋_GB2312" w:eastAsia="仿宋_GB2312"/>
          <w:sz w:val="28"/>
          <w:szCs w:val="28"/>
          <w:lang w:val="en-US" w:eastAsia="zh-CN"/>
        </w:rPr>
        <w:t>14430.15</w:t>
      </w:r>
      <w:r>
        <w:rPr>
          <w:rFonts w:hint="eastAsia" w:ascii="仿宋_GB2312" w:eastAsia="仿宋_GB2312"/>
          <w:sz w:val="28"/>
          <w:szCs w:val="28"/>
        </w:rPr>
        <w:t>万元，比上年增加</w:t>
      </w:r>
      <w:r>
        <w:rPr>
          <w:rFonts w:hint="eastAsia" w:ascii="仿宋_GB2312" w:eastAsia="仿宋_GB2312"/>
          <w:sz w:val="28"/>
          <w:szCs w:val="28"/>
          <w:lang w:val="en-US" w:eastAsia="zh-CN"/>
        </w:rPr>
        <w:t>3992.23</w:t>
      </w:r>
      <w:r>
        <w:rPr>
          <w:rFonts w:hint="eastAsia" w:ascii="仿宋_GB2312" w:eastAsia="仿宋_GB2312"/>
          <w:sz w:val="28"/>
          <w:szCs w:val="28"/>
        </w:rPr>
        <w:t>万元，增长</w:t>
      </w:r>
      <w:r>
        <w:rPr>
          <w:rFonts w:hint="eastAsia" w:ascii="仿宋_GB2312" w:eastAsia="仿宋_GB2312"/>
          <w:sz w:val="28"/>
          <w:szCs w:val="28"/>
          <w:lang w:val="en-US" w:eastAsia="zh-CN"/>
        </w:rPr>
        <w:t>38.2</w:t>
      </w:r>
      <w:r>
        <w:rPr>
          <w:rFonts w:hint="eastAsia" w:ascii="仿宋_GB2312" w:eastAsia="仿宋_GB2312"/>
          <w:sz w:val="28"/>
          <w:szCs w:val="28"/>
        </w:rPr>
        <w:t>%。其中：财政拨款收入12617.38万元；上年结转</w:t>
      </w:r>
      <w:r>
        <w:rPr>
          <w:rFonts w:hint="eastAsia" w:ascii="仿宋_GB2312" w:eastAsia="仿宋_GB2312"/>
          <w:sz w:val="28"/>
          <w:szCs w:val="28"/>
          <w:lang w:val="en-US" w:eastAsia="zh-CN"/>
        </w:rPr>
        <w:t>1812.77万元。</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highlight w:val="none"/>
        </w:rPr>
        <w:t>南昌市机关事务管理局</w:t>
      </w:r>
      <w:r>
        <w:rPr>
          <w:rFonts w:hint="eastAsia" w:ascii="仿宋_GB2312" w:eastAsia="仿宋_GB2312"/>
          <w:sz w:val="28"/>
          <w:szCs w:val="28"/>
        </w:rPr>
        <w:t>支出预算总额为</w:t>
      </w:r>
      <w:r>
        <w:rPr>
          <w:rFonts w:hint="eastAsia" w:ascii="仿宋_GB2312" w:eastAsia="仿宋_GB2312"/>
          <w:sz w:val="28"/>
          <w:szCs w:val="28"/>
          <w:lang w:val="en-US" w:eastAsia="zh-CN"/>
        </w:rPr>
        <w:t>14430.15</w:t>
      </w:r>
      <w:r>
        <w:rPr>
          <w:rFonts w:hint="eastAsia" w:ascii="仿宋_GB2312" w:eastAsia="仿宋_GB2312"/>
          <w:sz w:val="28"/>
          <w:szCs w:val="28"/>
        </w:rPr>
        <w:t>万元，比上年增加</w:t>
      </w:r>
      <w:r>
        <w:rPr>
          <w:rFonts w:hint="eastAsia" w:ascii="仿宋_GB2312" w:eastAsia="仿宋_GB2312"/>
          <w:sz w:val="28"/>
          <w:szCs w:val="28"/>
          <w:lang w:val="en-US" w:eastAsia="zh-CN"/>
        </w:rPr>
        <w:t>3992.23</w:t>
      </w:r>
      <w:r>
        <w:rPr>
          <w:rFonts w:hint="eastAsia" w:ascii="仿宋_GB2312" w:eastAsia="仿宋_GB2312"/>
          <w:sz w:val="28"/>
          <w:szCs w:val="28"/>
        </w:rPr>
        <w:t>万元，增长</w:t>
      </w:r>
      <w:r>
        <w:rPr>
          <w:rFonts w:hint="eastAsia" w:ascii="仿宋_GB2312" w:eastAsia="仿宋_GB2312"/>
          <w:sz w:val="28"/>
          <w:szCs w:val="28"/>
          <w:lang w:val="en-US" w:eastAsia="zh-CN"/>
        </w:rPr>
        <w:t>38.2</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6222.86</w:t>
      </w:r>
      <w:r>
        <w:rPr>
          <w:rFonts w:hint="eastAsia" w:ascii="仿宋_GB2312" w:eastAsia="仿宋_GB2312"/>
          <w:sz w:val="28"/>
          <w:szCs w:val="28"/>
        </w:rPr>
        <w:t>万元，包括工资福利支出</w:t>
      </w:r>
      <w:r>
        <w:rPr>
          <w:rFonts w:hint="eastAsia" w:ascii="仿宋_GB2312" w:eastAsia="仿宋_GB2312"/>
          <w:sz w:val="28"/>
          <w:szCs w:val="28"/>
          <w:lang w:val="en-US" w:eastAsia="zh-CN"/>
        </w:rPr>
        <w:t>5397.94</w:t>
      </w:r>
      <w:r>
        <w:rPr>
          <w:rFonts w:hint="eastAsia" w:ascii="仿宋_GB2312" w:eastAsia="仿宋_GB2312"/>
          <w:sz w:val="28"/>
          <w:szCs w:val="28"/>
        </w:rPr>
        <w:t>万元、日常公用支出</w:t>
      </w:r>
      <w:r>
        <w:rPr>
          <w:rFonts w:hint="eastAsia" w:ascii="仿宋_GB2312" w:eastAsia="仿宋_GB2312"/>
          <w:sz w:val="28"/>
          <w:szCs w:val="28"/>
          <w:lang w:val="en-US" w:eastAsia="zh-CN"/>
        </w:rPr>
        <w:t>763.21</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61.71</w:t>
      </w:r>
      <w:r>
        <w:rPr>
          <w:rFonts w:hint="eastAsia" w:ascii="仿宋_GB2312" w:eastAsia="仿宋_GB2312"/>
          <w:sz w:val="28"/>
          <w:szCs w:val="28"/>
        </w:rPr>
        <w:t>万元；项目支出</w:t>
      </w:r>
      <w:r>
        <w:rPr>
          <w:rFonts w:hint="eastAsia" w:ascii="仿宋_GB2312" w:eastAsia="仿宋_GB2312"/>
          <w:sz w:val="28"/>
          <w:szCs w:val="28"/>
          <w:lang w:val="en-US" w:eastAsia="zh-CN"/>
        </w:rPr>
        <w:t>8207.29</w:t>
      </w:r>
      <w:r>
        <w:rPr>
          <w:rFonts w:hint="eastAsia" w:ascii="仿宋_GB2312" w:eastAsia="仿宋_GB2312"/>
          <w:sz w:val="28"/>
          <w:szCs w:val="28"/>
        </w:rPr>
        <w:t>万元，包括行政事业性项目支出</w:t>
      </w:r>
      <w:r>
        <w:rPr>
          <w:rFonts w:hint="eastAsia" w:ascii="仿宋_GB2312" w:eastAsia="仿宋_GB2312"/>
          <w:sz w:val="28"/>
          <w:szCs w:val="28"/>
          <w:lang w:val="en-US" w:eastAsia="zh-CN"/>
        </w:rPr>
        <w:t>8207.29</w:t>
      </w:r>
      <w:r>
        <w:rPr>
          <w:rFonts w:hint="eastAsia" w:ascii="仿宋_GB2312" w:eastAsia="仿宋_GB2312"/>
          <w:sz w:val="28"/>
          <w:szCs w:val="28"/>
        </w:rPr>
        <w:t>万元</w:t>
      </w:r>
      <w:r>
        <w:rPr>
          <w:rFonts w:hint="eastAsia" w:ascii="仿宋_GB2312" w:eastAsia="仿宋_GB2312"/>
          <w:sz w:val="28"/>
          <w:szCs w:val="28"/>
          <w:lang w:eastAsia="zh-CN"/>
        </w:rPr>
        <w:t>。</w:t>
      </w:r>
    </w:p>
    <w:p>
      <w:pPr>
        <w:spacing w:line="540" w:lineRule="exact"/>
        <w:ind w:firstLine="560" w:firstLineChars="200"/>
        <w:rPr>
          <w:rFonts w:hint="eastAsia" w:ascii="仿宋_GB2312" w:hAnsi="宋体" w:eastAsia="仿宋_GB2312"/>
          <w:sz w:val="30"/>
          <w:szCs w:val="30"/>
          <w:highlight w:val="none"/>
          <w:lang w:eastAsia="zh-CN"/>
        </w:rPr>
      </w:pPr>
      <w:r>
        <w:rPr>
          <w:rFonts w:hint="eastAsia" w:ascii="仿宋_GB2312" w:eastAsia="仿宋_GB2312"/>
          <w:sz w:val="28"/>
          <w:szCs w:val="28"/>
        </w:rPr>
        <w:t>按支出功能科目划分：</w:t>
      </w:r>
      <w:r>
        <w:rPr>
          <w:rFonts w:hint="eastAsia" w:ascii="仿宋_GB2312" w:hAnsi="宋体" w:eastAsia="仿宋_GB2312"/>
          <w:sz w:val="30"/>
          <w:szCs w:val="30"/>
          <w:highlight w:val="none"/>
        </w:rPr>
        <w:t>一般公共服务支出10089.9</w:t>
      </w:r>
      <w:r>
        <w:rPr>
          <w:rFonts w:hint="eastAsia" w:ascii="仿宋_GB2312" w:hAnsi="宋体" w:eastAsia="仿宋_GB2312"/>
          <w:sz w:val="30"/>
          <w:szCs w:val="30"/>
          <w:highlight w:val="none"/>
          <w:lang w:val="en-US" w:eastAsia="zh-CN"/>
        </w:rPr>
        <w:t>0</w:t>
      </w:r>
      <w:r>
        <w:rPr>
          <w:rFonts w:hint="eastAsia" w:ascii="仿宋_GB2312" w:hAnsi="宋体" w:eastAsia="仿宋_GB2312"/>
          <w:sz w:val="30"/>
          <w:szCs w:val="30"/>
          <w:highlight w:val="none"/>
        </w:rPr>
        <w:t>万元</w:t>
      </w:r>
      <w:r>
        <w:rPr>
          <w:rFonts w:hint="eastAsia" w:ascii="仿宋_GB2312" w:eastAsia="仿宋_GB2312"/>
          <w:sz w:val="28"/>
          <w:szCs w:val="28"/>
        </w:rPr>
        <w:t>；</w:t>
      </w:r>
      <w:r>
        <w:rPr>
          <w:rFonts w:hint="eastAsia" w:ascii="仿宋_GB2312" w:hAnsi="宋体" w:eastAsia="仿宋_GB2312"/>
          <w:sz w:val="30"/>
          <w:szCs w:val="30"/>
          <w:highlight w:val="none"/>
        </w:rPr>
        <w:t>教育支出3504.02万元</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社会保障和就业支出304.41万元</w:t>
      </w:r>
      <w:r>
        <w:rPr>
          <w:rFonts w:hint="eastAsia" w:ascii="仿宋_GB2312" w:hAnsi="宋体" w:eastAsia="仿宋_GB2312"/>
          <w:sz w:val="30"/>
          <w:szCs w:val="30"/>
          <w:highlight w:val="none"/>
          <w:lang w:eastAsia="zh-CN"/>
        </w:rPr>
        <w:t>；城乡社区支出10.76万元；资源勘探工业信息等支出70.14万元；住房保障支出450.92万元。</w:t>
      </w:r>
    </w:p>
    <w:p>
      <w:pPr>
        <w:adjustRightIn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hAnsi="宋体" w:eastAsia="仿宋_GB2312"/>
          <w:sz w:val="30"/>
          <w:szCs w:val="30"/>
          <w:highlight w:val="none"/>
          <w:lang w:val="en-US" w:eastAsia="zh-CN"/>
        </w:rPr>
        <w:t>5910.88</w:t>
      </w:r>
      <w:r>
        <w:rPr>
          <w:rFonts w:hint="eastAsia" w:ascii="仿宋_GB2312" w:eastAsia="仿宋_GB2312"/>
          <w:sz w:val="28"/>
          <w:szCs w:val="28"/>
        </w:rPr>
        <w:t>万元，占支出预算总额的</w:t>
      </w:r>
      <w:r>
        <w:rPr>
          <w:rFonts w:hint="eastAsia" w:ascii="仿宋_GB2312" w:hAnsi="宋体" w:eastAsia="仿宋_GB2312"/>
          <w:sz w:val="30"/>
          <w:szCs w:val="30"/>
          <w:highlight w:val="none"/>
          <w:lang w:val="en-US" w:eastAsia="zh-CN"/>
        </w:rPr>
        <w:t>41.0</w:t>
      </w:r>
      <w:r>
        <w:rPr>
          <w:rFonts w:hint="eastAsia" w:ascii="仿宋_GB2312" w:hAnsi="宋体" w:eastAsia="仿宋_GB2312"/>
          <w:sz w:val="30"/>
          <w:szCs w:val="30"/>
          <w:highlight w:val="none"/>
        </w:rPr>
        <w:t>%</w:t>
      </w:r>
      <w:r>
        <w:rPr>
          <w:rFonts w:hint="eastAsia" w:ascii="仿宋_GB2312" w:eastAsia="仿宋_GB2312"/>
          <w:sz w:val="28"/>
          <w:szCs w:val="28"/>
        </w:rPr>
        <w:t>；商品和服务支出</w:t>
      </w:r>
      <w:r>
        <w:rPr>
          <w:rFonts w:hint="eastAsia" w:ascii="仿宋_GB2312" w:hAnsi="宋体" w:eastAsia="仿宋_GB2312"/>
          <w:sz w:val="30"/>
          <w:szCs w:val="30"/>
          <w:highlight w:val="none"/>
          <w:lang w:val="en-US" w:eastAsia="zh-CN"/>
        </w:rPr>
        <w:t>8446.42</w:t>
      </w:r>
      <w:r>
        <w:rPr>
          <w:rFonts w:hint="eastAsia" w:ascii="仿宋_GB2312" w:eastAsia="仿宋_GB2312"/>
          <w:sz w:val="28"/>
          <w:szCs w:val="28"/>
        </w:rPr>
        <w:t>万元，占支出预算总额的</w:t>
      </w:r>
      <w:r>
        <w:rPr>
          <w:rFonts w:hint="eastAsia" w:ascii="仿宋_GB2312" w:hAnsi="宋体" w:eastAsia="仿宋_GB2312"/>
          <w:sz w:val="30"/>
          <w:szCs w:val="30"/>
          <w:highlight w:val="none"/>
          <w:lang w:val="en-US" w:eastAsia="zh-CN"/>
        </w:rPr>
        <w:t>58.5</w:t>
      </w:r>
      <w:r>
        <w:rPr>
          <w:rFonts w:hint="eastAsia" w:ascii="仿宋_GB2312" w:hAnsi="宋体" w:eastAsia="仿宋_GB2312"/>
          <w:sz w:val="30"/>
          <w:szCs w:val="30"/>
          <w:highlight w:val="none"/>
        </w:rPr>
        <w:t>%</w:t>
      </w:r>
      <w:r>
        <w:rPr>
          <w:rFonts w:hint="eastAsia" w:ascii="仿宋_GB2312" w:eastAsia="仿宋_GB2312"/>
          <w:sz w:val="28"/>
          <w:szCs w:val="28"/>
        </w:rPr>
        <w:t>；</w:t>
      </w:r>
      <w:r>
        <w:rPr>
          <w:rFonts w:hint="eastAsia" w:ascii="仿宋_GB2312" w:hAnsi="宋体" w:eastAsia="仿宋_GB2312"/>
          <w:sz w:val="30"/>
          <w:szCs w:val="30"/>
          <w:highlight w:val="none"/>
        </w:rPr>
        <w:t>对个人和家庭的补助</w:t>
      </w:r>
      <w:r>
        <w:rPr>
          <w:rFonts w:hint="eastAsia" w:ascii="仿宋_GB2312" w:hAnsi="宋体" w:eastAsia="仿宋_GB2312"/>
          <w:sz w:val="30"/>
          <w:szCs w:val="30"/>
          <w:highlight w:val="none"/>
          <w:lang w:val="en-US" w:eastAsia="zh-CN"/>
        </w:rPr>
        <w:t>61.71万元，</w:t>
      </w:r>
      <w:r>
        <w:rPr>
          <w:rFonts w:hint="eastAsia" w:ascii="仿宋_GB2312" w:hAnsi="宋体" w:eastAsia="仿宋_GB2312"/>
          <w:sz w:val="30"/>
          <w:szCs w:val="30"/>
          <w:highlight w:val="none"/>
        </w:rPr>
        <w:t>占支出预算总额的</w:t>
      </w:r>
      <w:r>
        <w:rPr>
          <w:rFonts w:hint="eastAsia" w:ascii="仿宋_GB2312" w:hAnsi="宋体" w:eastAsia="仿宋_GB2312"/>
          <w:sz w:val="30"/>
          <w:szCs w:val="30"/>
          <w:highlight w:val="none"/>
          <w:lang w:val="en-US" w:eastAsia="zh-CN"/>
        </w:rPr>
        <w:t>0.4</w:t>
      </w:r>
      <w:r>
        <w:rPr>
          <w:rFonts w:hint="eastAsia" w:ascii="仿宋_GB2312" w:hAnsi="宋体" w:eastAsia="仿宋_GB2312"/>
          <w:sz w:val="30"/>
          <w:szCs w:val="30"/>
          <w:highlight w:val="none"/>
        </w:rPr>
        <w:t>%；其他支出11.14</w:t>
      </w:r>
      <w:r>
        <w:rPr>
          <w:rFonts w:hint="eastAsia" w:ascii="仿宋_GB2312" w:hAnsi="宋体" w:eastAsia="仿宋_GB2312"/>
          <w:sz w:val="30"/>
          <w:szCs w:val="30"/>
          <w:highlight w:val="none"/>
          <w:lang w:eastAsia="zh-CN"/>
        </w:rPr>
        <w:t>万元，</w:t>
      </w:r>
      <w:r>
        <w:rPr>
          <w:rFonts w:hint="eastAsia" w:ascii="仿宋_GB2312" w:hAnsi="宋体" w:eastAsia="仿宋_GB2312"/>
          <w:sz w:val="30"/>
          <w:szCs w:val="30"/>
          <w:highlight w:val="none"/>
        </w:rPr>
        <w:t>占支出预算总额的</w:t>
      </w:r>
      <w:r>
        <w:rPr>
          <w:rFonts w:hint="eastAsia" w:ascii="仿宋_GB2312" w:hAnsi="宋体" w:eastAsia="仿宋_GB2312"/>
          <w:sz w:val="30"/>
          <w:szCs w:val="30"/>
          <w:highlight w:val="none"/>
          <w:lang w:val="en-US" w:eastAsia="zh-CN"/>
        </w:rPr>
        <w:t>0.1</w:t>
      </w:r>
      <w:r>
        <w:rPr>
          <w:rFonts w:hint="eastAsia" w:ascii="仿宋_GB2312" w:hAnsi="宋体" w:eastAsia="仿宋_GB2312"/>
          <w:sz w:val="30"/>
          <w:szCs w:val="30"/>
          <w:highlight w:val="none"/>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highlight w:val="none"/>
        </w:rPr>
        <w:t>南昌市机关事务管理局</w:t>
      </w:r>
      <w:r>
        <w:rPr>
          <w:rFonts w:hint="eastAsia" w:ascii="仿宋_GB2312" w:eastAsia="仿宋_GB2312"/>
          <w:sz w:val="28"/>
          <w:szCs w:val="28"/>
        </w:rPr>
        <w:t>财政拨款支出预算</w:t>
      </w:r>
      <w:r>
        <w:rPr>
          <w:rFonts w:hint="eastAsia" w:ascii="仿宋_GB2312" w:hAnsi="宋体" w:eastAsia="仿宋_GB2312"/>
          <w:sz w:val="30"/>
          <w:szCs w:val="30"/>
          <w:highlight w:val="none"/>
        </w:rPr>
        <w:t>12617.38</w:t>
      </w:r>
      <w:r>
        <w:rPr>
          <w:rFonts w:hint="eastAsia" w:ascii="仿宋_GB2312" w:eastAsia="仿宋_GB2312"/>
          <w:sz w:val="28"/>
          <w:szCs w:val="28"/>
        </w:rPr>
        <w:t>万元，较上年增加</w:t>
      </w:r>
      <w:r>
        <w:rPr>
          <w:rFonts w:hint="eastAsia" w:ascii="仿宋_GB2312" w:eastAsia="仿宋_GB2312"/>
          <w:sz w:val="28"/>
          <w:szCs w:val="28"/>
          <w:lang w:val="en-US" w:eastAsia="zh-CN"/>
        </w:rPr>
        <w:t>3140.86</w:t>
      </w:r>
      <w:r>
        <w:rPr>
          <w:rFonts w:hint="eastAsia" w:ascii="仿宋_GB2312" w:eastAsia="仿宋_GB2312"/>
          <w:sz w:val="28"/>
          <w:szCs w:val="28"/>
        </w:rPr>
        <w:t>万元，增长</w:t>
      </w:r>
      <w:r>
        <w:rPr>
          <w:rFonts w:hint="eastAsia" w:ascii="仿宋_GB2312" w:eastAsia="仿宋_GB2312"/>
          <w:sz w:val="28"/>
          <w:szCs w:val="28"/>
          <w:lang w:val="en-US" w:eastAsia="zh-CN"/>
        </w:rPr>
        <w:t>33.1</w:t>
      </w:r>
      <w:r>
        <w:rPr>
          <w:rFonts w:hint="eastAsia" w:ascii="仿宋_GB2312" w:eastAsia="仿宋_GB2312"/>
          <w:sz w:val="28"/>
          <w:szCs w:val="28"/>
        </w:rPr>
        <w:t>%。具体支出情况是：</w:t>
      </w:r>
      <w:r>
        <w:rPr>
          <w:rFonts w:hint="eastAsia" w:ascii="仿宋_GB2312" w:hAnsi="宋体" w:eastAsia="仿宋_GB2312"/>
          <w:sz w:val="30"/>
          <w:szCs w:val="30"/>
          <w:highlight w:val="none"/>
        </w:rPr>
        <w:t>一般公共服务支出8948.35万元，占财政拨款支出的</w:t>
      </w:r>
      <w:r>
        <w:rPr>
          <w:rFonts w:hint="eastAsia" w:ascii="仿宋_GB2312" w:hAnsi="宋体" w:eastAsia="仿宋_GB2312"/>
          <w:sz w:val="30"/>
          <w:szCs w:val="30"/>
          <w:highlight w:val="none"/>
          <w:lang w:val="en-US" w:eastAsia="zh-CN"/>
        </w:rPr>
        <w:t>70.9</w:t>
      </w:r>
      <w:r>
        <w:rPr>
          <w:rFonts w:hint="eastAsia" w:ascii="仿宋_GB2312" w:hAnsi="宋体" w:eastAsia="仿宋_GB2312"/>
          <w:sz w:val="30"/>
          <w:szCs w:val="30"/>
          <w:highlight w:val="none"/>
        </w:rPr>
        <w:t>%；教育支出2956.52万元，占财政拨款支出的</w:t>
      </w:r>
      <w:r>
        <w:rPr>
          <w:rFonts w:hint="eastAsia" w:ascii="仿宋_GB2312" w:hAnsi="宋体" w:eastAsia="仿宋_GB2312"/>
          <w:sz w:val="30"/>
          <w:szCs w:val="30"/>
          <w:highlight w:val="none"/>
          <w:lang w:val="en-US" w:eastAsia="zh-CN"/>
        </w:rPr>
        <w:t>23.4</w:t>
      </w: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社会保障和就业支出265万元</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占财政拨款支出的</w:t>
      </w:r>
      <w:r>
        <w:rPr>
          <w:rFonts w:hint="eastAsia" w:ascii="仿宋_GB2312" w:hAnsi="宋体" w:eastAsia="仿宋_GB2312"/>
          <w:sz w:val="30"/>
          <w:szCs w:val="30"/>
          <w:highlight w:val="none"/>
          <w:lang w:val="en-US" w:eastAsia="zh-CN"/>
        </w:rPr>
        <w:t>2.1</w:t>
      </w: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eastAsia="zh-CN"/>
        </w:rPr>
        <w:t>；住房保障支出447.51</w:t>
      </w:r>
      <w:r>
        <w:rPr>
          <w:rFonts w:hint="eastAsia" w:ascii="仿宋_GB2312" w:hAnsi="宋体" w:eastAsia="仿宋_GB2312"/>
          <w:sz w:val="30"/>
          <w:szCs w:val="30"/>
          <w:highlight w:val="none"/>
        </w:rPr>
        <w:t>万元</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占财政拨款支出的</w:t>
      </w:r>
      <w:r>
        <w:rPr>
          <w:rFonts w:hint="eastAsia" w:ascii="仿宋_GB2312" w:hAnsi="宋体" w:eastAsia="仿宋_GB2312"/>
          <w:sz w:val="30"/>
          <w:szCs w:val="30"/>
          <w:highlight w:val="none"/>
          <w:lang w:val="en-US" w:eastAsia="zh-CN"/>
        </w:rPr>
        <w:t>3.6</w:t>
      </w:r>
      <w:r>
        <w:rPr>
          <w:rFonts w:hint="eastAsia" w:ascii="仿宋_GB2312" w:hAnsi="宋体" w:eastAsia="仿宋_GB2312"/>
          <w:sz w:val="30"/>
          <w:szCs w:val="30"/>
          <w:highlight w:val="none"/>
        </w:rPr>
        <w:t>%</w:t>
      </w:r>
      <w:r>
        <w:rPr>
          <w:rFonts w:hint="eastAsia" w:ascii="仿宋_GB2312" w:hAnsi="宋体" w:eastAsia="仿宋_GB2312"/>
          <w:sz w:val="30"/>
          <w:szCs w:val="30"/>
          <w:highlight w:val="none"/>
          <w:lang w:eastAsia="zh-CN"/>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highlight w:val="none"/>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w:t>
      </w:r>
      <w:r>
        <w:rPr>
          <w:rFonts w:hint="eastAsia" w:ascii="仿宋_GB2312" w:eastAsia="仿宋_GB2312"/>
          <w:sz w:val="28"/>
          <w:szCs w:val="28"/>
          <w:highlight w:val="none"/>
        </w:rPr>
        <w:t>重要情况说明</w:t>
      </w:r>
    </w:p>
    <w:p>
      <w:pPr>
        <w:spacing w:line="540" w:lineRule="exact"/>
        <w:ind w:firstLine="560" w:firstLineChars="200"/>
        <w:rPr>
          <w:rFonts w:hint="eastAsia" w:ascii="仿宋_GB2312" w:hAnsi="宋体" w:eastAsia="仿宋_GB2312"/>
          <w:b/>
          <w:color w:val="FF0000"/>
          <w:sz w:val="28"/>
          <w:szCs w:val="28"/>
          <w:highlight w:val="none"/>
        </w:rPr>
      </w:pPr>
      <w:r>
        <w:rPr>
          <w:rFonts w:hint="eastAsia" w:ascii="仿宋_GB2312" w:eastAsia="仿宋_GB2312"/>
          <w:sz w:val="28"/>
          <w:szCs w:val="28"/>
          <w:highlight w:val="none"/>
        </w:rPr>
        <w:t>2021年本部门机关运行经费为</w:t>
      </w:r>
      <w:r>
        <w:rPr>
          <w:rFonts w:hint="eastAsia" w:ascii="仿宋_GB2312" w:eastAsia="仿宋_GB2312"/>
          <w:sz w:val="28"/>
          <w:szCs w:val="28"/>
          <w:highlight w:val="none"/>
          <w:lang w:val="en-US" w:eastAsia="zh-CN"/>
        </w:rPr>
        <w:t>229.33</w:t>
      </w:r>
      <w:r>
        <w:rPr>
          <w:rFonts w:hint="eastAsia" w:ascii="仿宋_GB2312" w:eastAsia="仿宋_GB2312"/>
          <w:sz w:val="28"/>
          <w:szCs w:val="28"/>
          <w:highlight w:val="none"/>
        </w:rPr>
        <w:t>万元。（机关运行经费来源为部门预算批复表中——《部门收支预算总表》的“商品和服务支出”+“其他资本性支出”） ，较上年减少</w:t>
      </w:r>
      <w:r>
        <w:rPr>
          <w:rFonts w:hint="eastAsia" w:ascii="仿宋_GB2312" w:eastAsia="仿宋_GB2312" w:cs="Times New Roman"/>
          <w:kern w:val="2"/>
          <w:sz w:val="28"/>
          <w:szCs w:val="28"/>
          <w:highlight w:val="none"/>
          <w:lang w:val="en-US" w:eastAsia="zh-CN" w:bidi="ar-SA"/>
        </w:rPr>
        <w:t>49.08</w:t>
      </w:r>
      <w:r>
        <w:rPr>
          <w:rFonts w:hint="eastAsia" w:ascii="仿宋_GB2312" w:eastAsia="仿宋_GB2312"/>
          <w:sz w:val="28"/>
          <w:szCs w:val="28"/>
          <w:highlight w:val="none"/>
        </w:rPr>
        <w:t>万元，</w:t>
      </w:r>
      <w:r>
        <w:rPr>
          <w:rFonts w:hint="eastAsia" w:ascii="仿宋_GB2312" w:eastAsia="仿宋_GB2312" w:cs="Times New Roman"/>
          <w:kern w:val="2"/>
          <w:sz w:val="28"/>
          <w:szCs w:val="28"/>
          <w:highlight w:val="none"/>
          <w:lang w:val="en-US" w:eastAsia="zh-CN" w:bidi="ar-SA"/>
        </w:rPr>
        <w:t>减少17.6</w:t>
      </w:r>
      <w:r>
        <w:rPr>
          <w:rFonts w:hint="eastAsia" w:ascii="仿宋_GB2312" w:eastAsia="仿宋_GB2312"/>
          <w:sz w:val="28"/>
          <w:szCs w:val="28"/>
          <w:highlight w:val="none"/>
        </w:rPr>
        <w:t>%。</w:t>
      </w:r>
      <w:r>
        <w:rPr>
          <w:rFonts w:hint="eastAsia" w:ascii="仿宋_GB2312" w:eastAsia="仿宋_GB2312" w:cs="Times New Roman"/>
          <w:kern w:val="2"/>
          <w:sz w:val="28"/>
          <w:szCs w:val="28"/>
          <w:highlight w:val="none"/>
          <w:lang w:val="en-US" w:eastAsia="zh-CN" w:bidi="ar-SA"/>
        </w:rPr>
        <w:t>减少</w:t>
      </w:r>
      <w:r>
        <w:rPr>
          <w:rFonts w:hint="eastAsia" w:ascii="仿宋_GB2312" w:hAnsi="Times New Roman" w:eastAsia="仿宋_GB2312" w:cs="Times New Roman"/>
          <w:kern w:val="2"/>
          <w:sz w:val="28"/>
          <w:szCs w:val="28"/>
          <w:highlight w:val="none"/>
          <w:lang w:val="en-US" w:eastAsia="zh-CN" w:bidi="ar-SA"/>
        </w:rPr>
        <w:t>的原因主要是</w:t>
      </w:r>
      <w:r>
        <w:rPr>
          <w:rFonts w:hint="eastAsia" w:ascii="仿宋_GB2312" w:eastAsia="仿宋_GB2312" w:cs="Times New Roman"/>
          <w:kern w:val="2"/>
          <w:sz w:val="28"/>
          <w:szCs w:val="28"/>
          <w:highlight w:val="none"/>
          <w:lang w:val="en-US" w:eastAsia="zh-CN" w:bidi="ar-SA"/>
        </w:rPr>
        <w:t>本年度</w:t>
      </w:r>
      <w:r>
        <w:rPr>
          <w:rFonts w:hint="eastAsia" w:ascii="仿宋_GB2312" w:eastAsia="仿宋_GB2312" w:cs="Times New Roman"/>
          <w:kern w:val="2"/>
          <w:sz w:val="28"/>
          <w:szCs w:val="28"/>
          <w:highlight w:val="none"/>
          <w:lang w:val="en-US" w:eastAsia="zh-CN" w:bidi="ar-SA"/>
        </w:rPr>
        <w:t>响应市委市政府“过紧日子”要求，节约资源节省资金</w:t>
      </w:r>
      <w:r>
        <w:rPr>
          <w:rFonts w:hint="eastAsia" w:ascii="仿宋_GB2312" w:hAnsi="Times New Roman" w:eastAsia="仿宋_GB2312" w:cs="Times New Roman"/>
          <w:kern w:val="2"/>
          <w:sz w:val="28"/>
          <w:szCs w:val="28"/>
          <w:highlight w:val="none"/>
          <w:lang w:val="en-US" w:eastAsia="zh-CN" w:bidi="ar-SA"/>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b/>
          <w:sz w:val="28"/>
          <w:szCs w:val="28"/>
          <w:highlight w:val="none"/>
        </w:rPr>
      </w:pPr>
      <w:r>
        <w:rPr>
          <w:rFonts w:hint="eastAsia" w:ascii="仿宋_GB2312" w:eastAsia="仿宋_GB2312"/>
          <w:sz w:val="28"/>
          <w:szCs w:val="28"/>
          <w:highlight w:val="none"/>
        </w:rPr>
        <w:t>2021年我局各单位政府采购预算共安排</w:t>
      </w:r>
      <w:r>
        <w:rPr>
          <w:rFonts w:hint="eastAsia" w:ascii="仿宋_GB2312" w:eastAsia="仿宋_GB2312" w:cs="Times New Roman"/>
          <w:kern w:val="2"/>
          <w:sz w:val="28"/>
          <w:szCs w:val="28"/>
          <w:highlight w:val="none"/>
          <w:lang w:val="en-US" w:eastAsia="zh-CN" w:bidi="ar-SA"/>
        </w:rPr>
        <w:t>1155.7</w:t>
      </w:r>
      <w:r>
        <w:rPr>
          <w:rFonts w:hint="eastAsia" w:ascii="仿宋_GB2312" w:eastAsia="仿宋_GB2312"/>
          <w:sz w:val="28"/>
          <w:szCs w:val="28"/>
          <w:highlight w:val="none"/>
        </w:rPr>
        <w:t>万元。其中，货物预算</w:t>
      </w:r>
      <w:r>
        <w:rPr>
          <w:rFonts w:hint="eastAsia" w:ascii="仿宋_GB2312" w:eastAsia="仿宋_GB2312"/>
          <w:sz w:val="28"/>
          <w:szCs w:val="28"/>
          <w:highlight w:val="none"/>
          <w:lang w:val="en-US" w:eastAsia="zh-CN"/>
        </w:rPr>
        <w:t>265.3</w:t>
      </w:r>
      <w:r>
        <w:rPr>
          <w:rFonts w:hint="eastAsia" w:ascii="仿宋_GB2312" w:eastAsia="仿宋_GB2312"/>
          <w:sz w:val="28"/>
          <w:szCs w:val="28"/>
          <w:highlight w:val="none"/>
        </w:rPr>
        <w:t>万元，工程预算</w:t>
      </w:r>
      <w:r>
        <w:rPr>
          <w:rFonts w:hint="eastAsia" w:ascii="仿宋_GB2312" w:eastAsia="仿宋_GB2312"/>
          <w:sz w:val="28"/>
          <w:szCs w:val="28"/>
          <w:highlight w:val="none"/>
          <w:lang w:val="en-US" w:eastAsia="zh-CN"/>
        </w:rPr>
        <w:t>100</w:t>
      </w:r>
      <w:r>
        <w:rPr>
          <w:rFonts w:hint="eastAsia" w:ascii="仿宋_GB2312" w:eastAsia="仿宋_GB2312"/>
          <w:sz w:val="28"/>
          <w:szCs w:val="28"/>
          <w:highlight w:val="none"/>
        </w:rPr>
        <w:t>万元，服务预算</w:t>
      </w:r>
      <w:r>
        <w:rPr>
          <w:rFonts w:hint="eastAsia" w:ascii="仿宋_GB2312" w:eastAsia="仿宋_GB2312"/>
          <w:sz w:val="28"/>
          <w:szCs w:val="28"/>
          <w:highlight w:val="none"/>
          <w:lang w:val="en-US" w:eastAsia="zh-CN"/>
        </w:rPr>
        <w:t>790.4</w:t>
      </w:r>
      <w:r>
        <w:rPr>
          <w:rFonts w:hint="eastAsia" w:ascii="仿宋_GB2312" w:eastAsia="仿宋_GB2312"/>
          <w:sz w:val="28"/>
          <w:szCs w:val="28"/>
          <w:highlight w:val="none"/>
        </w:rPr>
        <w:t>万元。</w:t>
      </w:r>
    </w:p>
    <w:p>
      <w:pPr>
        <w:widowControl/>
        <w:spacing w:line="540" w:lineRule="exact"/>
        <w:ind w:firstLine="562" w:firstLineChars="200"/>
        <w:jc w:val="left"/>
        <w:rPr>
          <w:rFonts w:hint="eastAsia" w:ascii="仿宋_GB2312" w:eastAsia="仿宋_GB2312"/>
          <w:b/>
          <w:sz w:val="28"/>
          <w:szCs w:val="28"/>
          <w:highlight w:val="none"/>
        </w:rPr>
      </w:pPr>
      <w:r>
        <w:rPr>
          <w:rFonts w:hint="eastAsia" w:ascii="楷体_GB2312" w:eastAsia="楷体_GB2312"/>
          <w:b/>
          <w:sz w:val="28"/>
          <w:szCs w:val="28"/>
          <w:highlight w:val="none"/>
        </w:rPr>
        <w:t>（七）</w:t>
      </w:r>
      <w:r>
        <w:rPr>
          <w:rFonts w:hint="eastAsia" w:ascii="仿宋_GB2312" w:eastAsia="仿宋_GB2312"/>
          <w:sz w:val="28"/>
          <w:szCs w:val="28"/>
          <w:highlight w:val="none"/>
        </w:rPr>
        <w:t>国有资产占有使用情况</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截至2020年8月31日，部门共有车辆</w:t>
      </w:r>
      <w:r>
        <w:rPr>
          <w:rFonts w:hint="eastAsia" w:ascii="仿宋_GB2312" w:eastAsia="仿宋_GB2312"/>
          <w:sz w:val="28"/>
          <w:szCs w:val="28"/>
          <w:highlight w:val="none"/>
          <w:lang w:val="en-US" w:eastAsia="zh-CN"/>
        </w:rPr>
        <w:t>250</w:t>
      </w:r>
      <w:r>
        <w:rPr>
          <w:rFonts w:hint="eastAsia" w:ascii="仿宋_GB2312" w:eastAsia="仿宋_GB2312"/>
          <w:sz w:val="28"/>
          <w:szCs w:val="28"/>
          <w:highlight w:val="none"/>
        </w:rPr>
        <w:t>辆，其中，一般公务用车</w:t>
      </w:r>
      <w:r>
        <w:rPr>
          <w:rFonts w:hint="eastAsia" w:ascii="仿宋_GB2312" w:eastAsia="仿宋_GB2312"/>
          <w:sz w:val="28"/>
          <w:szCs w:val="28"/>
          <w:highlight w:val="none"/>
          <w:lang w:val="en-US" w:eastAsia="zh-CN"/>
        </w:rPr>
        <w:t>250</w:t>
      </w:r>
      <w:r>
        <w:rPr>
          <w:rFonts w:hint="eastAsia" w:ascii="仿宋_GB2312" w:eastAsia="仿宋_GB2312"/>
          <w:sz w:val="28"/>
          <w:szCs w:val="28"/>
          <w:highlight w:val="none"/>
        </w:rPr>
        <w:t>辆，执法执勤用车</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w:t>
      </w:r>
    </w:p>
    <w:p>
      <w:pPr>
        <w:widowControl/>
        <w:spacing w:line="540" w:lineRule="exact"/>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rPr>
        <w:t>2021年部门预算安排购置车辆</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w:t>
      </w:r>
      <w:r>
        <w:rPr>
          <w:rFonts w:hint="eastAsia" w:ascii="仿宋_GB2312" w:eastAsia="仿宋_GB2312"/>
          <w:sz w:val="28"/>
          <w:szCs w:val="28"/>
          <w:highlight w:val="none"/>
          <w:lang w:val="en-US" w:eastAsia="zh-CN"/>
        </w:rPr>
        <w:t>未</w:t>
      </w:r>
      <w:r>
        <w:rPr>
          <w:rFonts w:hint="eastAsia" w:ascii="仿宋_GB2312" w:eastAsia="仿宋_GB2312"/>
          <w:sz w:val="28"/>
          <w:szCs w:val="28"/>
          <w:highlight w:val="none"/>
        </w:rPr>
        <w:t>安排购置单位价值200万元以上大型设备</w:t>
      </w:r>
      <w:r>
        <w:rPr>
          <w:rFonts w:hint="eastAsia" w:ascii="仿宋_GB2312" w:eastAsia="仿宋_GB2312"/>
          <w:sz w:val="28"/>
          <w:szCs w:val="28"/>
          <w:highlight w:val="none"/>
          <w:lang w:eastAsia="zh-CN"/>
        </w:rPr>
        <w:t>。</w:t>
      </w:r>
    </w:p>
    <w:p>
      <w:pPr>
        <w:widowControl/>
        <w:spacing w:line="540" w:lineRule="exact"/>
        <w:ind w:firstLine="562" w:firstLineChars="200"/>
        <w:jc w:val="left"/>
        <w:rPr>
          <w:rFonts w:hint="eastAsia" w:ascii="仿宋_GB2312" w:hAnsi="仿宋_GB2312" w:eastAsia="仿宋_GB2312" w:cs="仿宋_GB2312"/>
          <w:b/>
          <w:sz w:val="28"/>
          <w:szCs w:val="28"/>
          <w:highlight w:val="none"/>
        </w:rPr>
      </w:pPr>
      <w:r>
        <w:rPr>
          <w:rFonts w:hint="eastAsia" w:ascii="楷体_GB2312" w:eastAsia="楷体_GB2312"/>
          <w:b/>
          <w:sz w:val="28"/>
          <w:szCs w:val="28"/>
          <w:highlight w:val="none"/>
        </w:rPr>
        <w:t>（八）</w:t>
      </w:r>
      <w:r>
        <w:rPr>
          <w:rFonts w:hint="eastAsia" w:ascii="仿宋_GB2312" w:hAnsi="仿宋_GB2312" w:eastAsia="仿宋_GB2312" w:cs="仿宋_GB2312"/>
          <w:sz w:val="28"/>
          <w:szCs w:val="28"/>
          <w:highlight w:val="none"/>
        </w:rPr>
        <w:t>预算绩效情况</w:t>
      </w:r>
      <w:bookmarkStart w:id="1" w:name="_GoBack"/>
      <w:bookmarkEnd w:id="1"/>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2021年本部门一级项目 </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个，具体为：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一级项目：公务车运行维护费用项目</w:t>
      </w:r>
    </w:p>
    <w:p>
      <w:pPr>
        <w:widowControl/>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二级项目：保障机关事务及公务用车运行维护经费</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保障机关246辆公车正常运行以及机关干部培训正常开展。</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南昌市机关事务管理局（本级）</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434.29</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保障公车的正常运行以及机关干部培训活动的正常开展。</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公车油卡充值4</w:t>
      </w:r>
      <w:r>
        <w:rPr>
          <w:rFonts w:hint="eastAsia" w:ascii="仿宋_GB2312" w:hAnsi="仿宋_GB2312" w:eastAsia="仿宋_GB2312" w:cs="仿宋_GB2312"/>
          <w:sz w:val="28"/>
          <w:szCs w:val="28"/>
        </w:rPr>
        <w:t>次；</w:t>
      </w:r>
      <w:r>
        <w:rPr>
          <w:rFonts w:hint="eastAsia" w:ascii="仿宋_GB2312" w:hAnsi="仿宋_GB2312" w:eastAsia="仿宋_GB2312" w:cs="仿宋_GB2312"/>
          <w:sz w:val="28"/>
          <w:szCs w:val="28"/>
          <w:lang w:val="en-US" w:eastAsia="zh-CN"/>
        </w:rPr>
        <w:t>全年公车保险和维修</w:t>
      </w:r>
      <w:r>
        <w:rPr>
          <w:rFonts w:hint="eastAsia" w:ascii="仿宋_GB2312" w:hAnsi="仿宋_GB2312" w:eastAsia="仿宋_GB2312" w:cs="仿宋_GB2312"/>
          <w:sz w:val="28"/>
          <w:szCs w:val="28"/>
        </w:rPr>
        <w:t>；机关干部培训次数</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次。</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质量指标：公车油卡充值完成率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%；公车保险和维修验收合格率100%；机关干部培训考试通过率100%。</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时效指标：公车油卡充值及时率100%；公车保险和维修及时率100%；机关干部培训及时率100%。</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成本指标：公车油卡充值成本控制率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；公车保险和维修成本控制率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；机关干部培训成本控制率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社会效益指标：保障246辆公车正常出行。</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项目可持续性强</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满意度指标：用车单位满意度大于等于95%。</w:t>
      </w:r>
    </w:p>
    <w:p>
      <w:pPr>
        <w:pStyle w:val="2"/>
        <w:ind w:left="0" w:leftChars="0"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highlight w:val="none"/>
          <w:lang w:val="en-US" w:eastAsia="zh-CN" w:bidi="ar-SA"/>
        </w:rPr>
        <w:t>一级项目：行政中心大楼维护经费</w:t>
      </w:r>
    </w:p>
    <w:p>
      <w:pPr>
        <w:widowControl/>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二级项目：行政中心大楼与红谷大厦运行维护经费</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保障行政中心与红谷大厦正常使用。</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南昌市机关事务管理局（本级）</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1248.38</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保障行政中心大楼与红谷大厦的日常工作的正常开展。</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全年行政中心安保工作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行政中心大楼维修300次</w:t>
      </w:r>
      <w:r>
        <w:rPr>
          <w:rFonts w:hint="eastAsia" w:ascii="仿宋_GB2312" w:hAnsi="仿宋_GB2312" w:eastAsia="仿宋_GB2312" w:cs="仿宋_GB2312"/>
          <w:sz w:val="28"/>
          <w:szCs w:val="28"/>
        </w:rPr>
        <w:t>；红谷大厦维修次数</w:t>
      </w:r>
      <w:r>
        <w:rPr>
          <w:rFonts w:hint="eastAsia" w:ascii="仿宋_GB2312" w:hAnsi="仿宋_GB2312" w:eastAsia="仿宋_GB2312" w:cs="仿宋_GB2312"/>
          <w:sz w:val="28"/>
          <w:szCs w:val="28"/>
          <w:lang w:val="en-US" w:eastAsia="zh-CN"/>
        </w:rPr>
        <w:t>300</w:t>
      </w:r>
      <w:r>
        <w:rPr>
          <w:rFonts w:hint="eastAsia" w:ascii="仿宋_GB2312" w:hAnsi="仿宋_GB2312" w:eastAsia="仿宋_GB2312" w:cs="仿宋_GB2312"/>
          <w:sz w:val="28"/>
          <w:szCs w:val="28"/>
        </w:rPr>
        <w:t>次</w:t>
      </w:r>
      <w:r>
        <w:rPr>
          <w:rFonts w:hint="eastAsia" w:ascii="仿宋_GB2312" w:hAnsi="仿宋_GB2312" w:eastAsia="仿宋_GB2312" w:cs="仿宋_GB2312"/>
          <w:sz w:val="28"/>
          <w:szCs w:val="28"/>
          <w:lang w:eastAsia="zh-CN"/>
        </w:rPr>
        <w:t>；行政中心公摊水电</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次</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质量指标：行政中心安保工作考核合格率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%；行政中心大楼维修验收合格率100%；红谷大厦维修验收合格率100%</w:t>
      </w:r>
      <w:r>
        <w:rPr>
          <w:rFonts w:hint="eastAsia" w:ascii="仿宋_GB2312" w:hAnsi="仿宋_GB2312" w:eastAsia="仿宋_GB2312" w:cs="仿宋_GB2312"/>
          <w:sz w:val="28"/>
          <w:szCs w:val="28"/>
          <w:lang w:eastAsia="zh-CN"/>
        </w:rPr>
        <w:t>；行政中心公摊水电完成率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时效指标：行政中心安保工作及时率100%；行政中心大楼维修及时率100%；红谷大厦维修及时率100%</w:t>
      </w:r>
      <w:r>
        <w:rPr>
          <w:rFonts w:hint="eastAsia" w:ascii="仿宋_GB2312" w:hAnsi="仿宋_GB2312" w:eastAsia="仿宋_GB2312" w:cs="仿宋_GB2312"/>
          <w:sz w:val="28"/>
          <w:szCs w:val="28"/>
          <w:lang w:eastAsia="zh-CN"/>
        </w:rPr>
        <w:t>；行政中心公摊水电及时率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成本指标：行政中心安保工作成本控制率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；行政中心大楼维修成本控制率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；红谷大厦维修成本控制率</w:t>
      </w:r>
      <w:r>
        <w:rPr>
          <w:rFonts w:hint="eastAsia" w:ascii="仿宋_GB2312" w:hAnsi="仿宋_GB2312" w:eastAsia="仿宋_GB2312" w:cs="仿宋_GB2312"/>
          <w:sz w:val="28"/>
          <w:szCs w:val="28"/>
          <w:lang w:val="en-US" w:eastAsia="zh-CN"/>
        </w:rPr>
        <w:t>小于等于100%；行政中心公摊水电成本控制率小于等于100%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社会效益指标：行政中心治安保障</w:t>
      </w:r>
      <w:r>
        <w:rPr>
          <w:rFonts w:hint="eastAsia" w:ascii="仿宋_GB2312" w:hAnsi="仿宋_GB2312" w:eastAsia="仿宋_GB2312" w:cs="仿宋_GB2312"/>
          <w:sz w:val="28"/>
          <w:szCs w:val="28"/>
          <w:lang w:val="en-US" w:eastAsia="zh-CN"/>
        </w:rPr>
        <w:t>大于等于95%；保障行政中心大楼和红谷大厦正常运行大于等于95%</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项目可持续性强</w:t>
      </w:r>
      <w:r>
        <w:rPr>
          <w:rFonts w:hint="eastAsia" w:ascii="仿宋_GB2312" w:hAnsi="仿宋_GB2312" w:eastAsia="仿宋_GB2312" w:cs="仿宋_GB2312"/>
          <w:sz w:val="28"/>
          <w:szCs w:val="28"/>
        </w:rPr>
        <w:t>。</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满意度指标：社会群众满意度大于等于95%</w:t>
      </w:r>
      <w:r>
        <w:rPr>
          <w:rFonts w:hint="eastAsia" w:ascii="仿宋_GB2312" w:hAnsi="仿宋_GB2312" w:eastAsia="仿宋_GB2312" w:cs="仿宋_GB2312"/>
          <w:sz w:val="28"/>
          <w:szCs w:val="28"/>
          <w:lang w:eastAsia="zh-CN"/>
        </w:rPr>
        <w:t>。</w:t>
      </w:r>
    </w:p>
    <w:p>
      <w:pPr>
        <w:widowControl/>
        <w:numPr>
          <w:ilvl w:val="0"/>
          <w:numId w:val="0"/>
        </w:numPr>
        <w:spacing w:line="360" w:lineRule="auto"/>
        <w:ind w:firstLine="560" w:firstLineChars="200"/>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一级项目：机关干部福利项目</w:t>
      </w:r>
    </w:p>
    <w:p>
      <w:pPr>
        <w:widowControl/>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二级项目：机关干部福利经费</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保障机关干部的伙食补助和洗理费。</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南昌市机关事务管理局（本级）</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4096</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保障机关干部的伙食补贴与洗理费按时发放。</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发放机关干部伙食补贴4404人</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发放机关干部洗理票5500人</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质量指标：机关干部伙食补贴发放完成率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%；机关干部洗理票发放完成率100%。</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时效指标：机关干部伙食补贴发放及时率100%；发放机关干部洗理票及时率100%。</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成本指标：发放机关干部伙食补贴成本控制率</w:t>
      </w:r>
      <w:r>
        <w:rPr>
          <w:rFonts w:hint="eastAsia" w:ascii="仿宋_GB2312" w:hAnsi="仿宋_GB2312" w:eastAsia="仿宋_GB2312" w:cs="仿宋_GB2312"/>
          <w:sz w:val="28"/>
          <w:szCs w:val="28"/>
          <w:lang w:val="en-US" w:eastAsia="zh-CN"/>
        </w:rPr>
        <w:t>小于等于100%</w:t>
      </w:r>
      <w:r>
        <w:rPr>
          <w:rFonts w:hint="eastAsia" w:ascii="仿宋_GB2312" w:hAnsi="仿宋_GB2312" w:eastAsia="仿宋_GB2312" w:cs="仿宋_GB2312"/>
          <w:sz w:val="28"/>
          <w:szCs w:val="28"/>
        </w:rPr>
        <w:t>；发放机关干部洗理票成本控制率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社会效益指标：保障机关干部伙食补助及洗理票。</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显著提高机关干部工作积极性</w:t>
      </w:r>
      <w:r>
        <w:rPr>
          <w:rFonts w:hint="eastAsia" w:ascii="仿宋_GB2312" w:hAnsi="仿宋_GB2312" w:eastAsia="仿宋_GB2312" w:cs="仿宋_GB2312"/>
          <w:sz w:val="28"/>
          <w:szCs w:val="28"/>
        </w:rPr>
        <w:t>。</w:t>
      </w:r>
    </w:p>
    <w:p>
      <w:pPr>
        <w:spacing w:line="54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满意度指标：机关干部满意度大于等于95%</w:t>
      </w:r>
      <w:r>
        <w:rPr>
          <w:rFonts w:hint="eastAsia" w:ascii="仿宋_GB2312" w:hAnsi="仿宋_GB2312" w:eastAsia="仿宋_GB2312" w:cs="仿宋_GB2312"/>
          <w:sz w:val="28"/>
          <w:szCs w:val="28"/>
          <w:lang w:eastAsia="zh-CN"/>
        </w:rPr>
        <w:t>。</w:t>
      </w:r>
    </w:p>
    <w:p>
      <w:pPr>
        <w:widowControl/>
        <w:numPr>
          <w:ilvl w:val="0"/>
          <w:numId w:val="0"/>
        </w:num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一级项目：学前教育业务经费项目</w:t>
      </w:r>
    </w:p>
    <w:p>
      <w:pPr>
        <w:widowControl/>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二级项目：学前教育经费</w:t>
      </w:r>
    </w:p>
    <w:p>
      <w:pPr>
        <w:widowControl/>
        <w:numPr>
          <w:ilvl w:val="0"/>
          <w:numId w:val="1"/>
        </w:num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项目概述：主要用于开展专业知识培训，课题研究、开展幼儿校园活动和教师竞赛活动、保育院幼儿秋季招生等工作。</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南昌市</w:t>
      </w:r>
      <w:r>
        <w:rPr>
          <w:rFonts w:hint="eastAsia" w:ascii="仿宋_GB2312" w:hAnsi="仿宋_GB2312" w:eastAsia="仿宋_GB2312" w:cs="仿宋_GB2312"/>
          <w:sz w:val="28"/>
          <w:szCs w:val="28"/>
          <w:lang w:val="en-US" w:eastAsia="zh-CN"/>
        </w:rPr>
        <w:t>保育院</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625.5</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通过本项目实施，保障南昌市保育院教育工作正常进行</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开展专业知识培训4</w:t>
      </w:r>
      <w:r>
        <w:rPr>
          <w:rFonts w:hint="eastAsia" w:ascii="仿宋_GB2312" w:hAnsi="仿宋_GB2312" w:eastAsia="仿宋_GB2312" w:cs="仿宋_GB2312"/>
          <w:sz w:val="28"/>
          <w:szCs w:val="28"/>
        </w:rPr>
        <w:t>次；</w:t>
      </w:r>
      <w:r>
        <w:rPr>
          <w:rFonts w:hint="eastAsia" w:ascii="仿宋_GB2312" w:hAnsi="仿宋_GB2312" w:eastAsia="仿宋_GB2312" w:cs="仿宋_GB2312"/>
          <w:sz w:val="28"/>
          <w:szCs w:val="28"/>
          <w:lang w:val="en-US" w:eastAsia="zh-CN"/>
        </w:rPr>
        <w:t>课题研究2</w:t>
      </w:r>
      <w:r>
        <w:rPr>
          <w:rFonts w:hint="eastAsia" w:ascii="仿宋_GB2312" w:hAnsi="仿宋_GB2312" w:eastAsia="仿宋_GB2312" w:cs="仿宋_GB2312"/>
          <w:sz w:val="28"/>
          <w:szCs w:val="28"/>
        </w:rPr>
        <w:t>次；开展幼儿校园活动和教师竞赛活动</w:t>
      </w:r>
      <w:r>
        <w:rPr>
          <w:rFonts w:hint="eastAsia" w:ascii="仿宋_GB2312" w:hAnsi="仿宋_GB2312" w:eastAsia="仿宋_GB2312" w:cs="仿宋_GB2312"/>
          <w:sz w:val="28"/>
          <w:szCs w:val="28"/>
          <w:lang w:val="en-US" w:eastAsia="zh-CN"/>
        </w:rPr>
        <w:t>大于等于2</w:t>
      </w:r>
      <w:r>
        <w:rPr>
          <w:rFonts w:hint="eastAsia" w:ascii="仿宋_GB2312" w:hAnsi="仿宋_GB2312" w:eastAsia="仿宋_GB2312" w:cs="仿宋_GB2312"/>
          <w:sz w:val="28"/>
          <w:szCs w:val="28"/>
        </w:rPr>
        <w:t>次；幼儿秋季招生</w:t>
      </w:r>
      <w:r>
        <w:rPr>
          <w:rFonts w:hint="eastAsia" w:ascii="仿宋_GB2312" w:hAnsi="仿宋_GB2312" w:eastAsia="仿宋_GB2312" w:cs="仿宋_GB2312"/>
          <w:sz w:val="28"/>
          <w:szCs w:val="28"/>
          <w:lang w:val="en-US" w:eastAsia="zh-CN"/>
        </w:rPr>
        <w:t>大于等于325人；在院幼儿升班大于等于5人；全面健康检查幼儿大于等于1000人</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质量指标：培训考核合格率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%；课题研究成果数转换率</w:t>
      </w:r>
      <w:r>
        <w:rPr>
          <w:rFonts w:hint="eastAsia" w:ascii="仿宋_GB2312" w:hAnsi="仿宋_GB2312" w:eastAsia="仿宋_GB2312" w:cs="仿宋_GB2312"/>
          <w:sz w:val="28"/>
          <w:szCs w:val="28"/>
          <w:lang w:val="en-US" w:eastAsia="zh-CN"/>
        </w:rPr>
        <w:t>大于等于90</w:t>
      </w:r>
      <w:r>
        <w:rPr>
          <w:rFonts w:hint="eastAsia" w:ascii="仿宋_GB2312" w:hAnsi="仿宋_GB2312" w:eastAsia="仿宋_GB2312" w:cs="仿宋_GB2312"/>
          <w:sz w:val="28"/>
          <w:szCs w:val="28"/>
        </w:rPr>
        <w:t>%；幼儿校园活动和教师竞赛活动完成率100%；招生工作完成率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；幼儿升班率</w:t>
      </w:r>
      <w:r>
        <w:rPr>
          <w:rFonts w:hint="eastAsia" w:ascii="仿宋_GB2312" w:hAnsi="仿宋_GB2312" w:eastAsia="仿宋_GB2312" w:cs="仿宋_GB2312"/>
          <w:sz w:val="28"/>
          <w:szCs w:val="28"/>
          <w:lang w:val="en-US" w:eastAsia="zh-CN"/>
        </w:rPr>
        <w:t>大于等于98%；幼儿健康检查率100%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时效指标：任务完成时间2021年底。</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学前教育经费成本控制率小于等于100%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社会效益指标：为学生家长及社会各界提供优质教育服务</w:t>
      </w:r>
      <w:r>
        <w:rPr>
          <w:rFonts w:hint="eastAsia" w:ascii="仿宋_GB2312" w:hAnsi="仿宋_GB2312" w:eastAsia="仿宋_GB2312" w:cs="仿宋_GB2312"/>
          <w:sz w:val="28"/>
          <w:szCs w:val="28"/>
          <w:lang w:val="en-US" w:eastAsia="zh-CN"/>
        </w:rPr>
        <w:t>大于98%</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推进科学严谨的学前教育理念大于95%</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满意度指标：家长满意度大于等于9</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widowControl/>
        <w:numPr>
          <w:ilvl w:val="0"/>
          <w:numId w:val="0"/>
        </w:num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一级项目：学前教育业务经费项目</w:t>
      </w:r>
    </w:p>
    <w:p>
      <w:pPr>
        <w:widowControl/>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二级项目：学前教育经费</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（1）项目概述：主要用于幼儿园提升教研质量，提升保教质量，提升服务意识</w:t>
      </w:r>
      <w:r>
        <w:rPr>
          <w:rFonts w:hint="eastAsia" w:ascii="仿宋_GB2312" w:hAnsi="仿宋_GB2312" w:eastAsia="仿宋_GB2312" w:cs="仿宋_GB2312"/>
          <w:sz w:val="28"/>
          <w:szCs w:val="28"/>
        </w:rPr>
        <w:t>。</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中共南昌市委机关幼儿园</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60</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提升幼儿园教学质量，保障幼儿园正常有序开展。</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数量指标：开展教职工和幼儿校园活动</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次；幼儿秋季招生</w:t>
      </w:r>
      <w:r>
        <w:rPr>
          <w:rFonts w:hint="eastAsia" w:ascii="仿宋_GB2312" w:hAnsi="仿宋_GB2312" w:eastAsia="仿宋_GB2312" w:cs="仿宋_GB2312"/>
          <w:sz w:val="28"/>
          <w:szCs w:val="28"/>
          <w:lang w:val="en-US" w:eastAsia="zh-CN"/>
        </w:rPr>
        <w:t>470人；在院幼儿升班大于等于5人；环创宣传1次</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质量指标：幼儿招生工作完成率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%；开展教职工和幼儿校园活动完成率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%；环创宣传成功转化率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时效指标：幼儿招生工作及时率</w:t>
      </w:r>
      <w:r>
        <w:rPr>
          <w:rFonts w:hint="eastAsia" w:ascii="仿宋_GB2312" w:hAnsi="仿宋_GB2312" w:eastAsia="仿宋_GB2312" w:cs="仿宋_GB2312"/>
          <w:sz w:val="28"/>
          <w:szCs w:val="28"/>
          <w:lang w:val="en-US" w:eastAsia="zh-CN"/>
        </w:rPr>
        <w:t>100%；开展教职工和幼儿校园活动及时率100%；环创宣传及时率100%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幼儿招生工作成本控制率小于等于100%；开展教职工和幼儿校园活动成本控制率小于等于100%；环创宣传成本控制率100%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社会效益指标：幼儿入学增长率</w:t>
      </w:r>
      <w:r>
        <w:rPr>
          <w:rFonts w:hint="eastAsia" w:ascii="仿宋_GB2312" w:hAnsi="仿宋_GB2312" w:eastAsia="仿宋_GB2312" w:cs="仿宋_GB2312"/>
          <w:sz w:val="28"/>
          <w:szCs w:val="28"/>
          <w:lang w:val="en-US" w:eastAsia="zh-CN"/>
        </w:rPr>
        <w:t>等于90%；显著提升市委幼儿园服务水平</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长效保障机制大于等于95%</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满意度指标：幼儿家长满意度</w:t>
      </w:r>
      <w:r>
        <w:rPr>
          <w:rFonts w:hint="eastAsia" w:ascii="仿宋_GB2312" w:hAnsi="仿宋_GB2312" w:eastAsia="仿宋_GB2312" w:cs="仿宋_GB2312"/>
          <w:sz w:val="28"/>
          <w:szCs w:val="28"/>
          <w:lang w:val="en-US" w:eastAsia="zh-CN"/>
        </w:rPr>
        <w:t>大于等于95%</w:t>
      </w:r>
      <w:r>
        <w:rPr>
          <w:rFonts w:hint="eastAsia" w:ascii="仿宋_GB2312" w:hAnsi="仿宋_GB2312" w:eastAsia="仿宋_GB2312" w:cs="仿宋_GB2312"/>
          <w:sz w:val="28"/>
          <w:szCs w:val="28"/>
          <w:lang w:eastAsia="zh-CN"/>
        </w:rPr>
        <w:t>。</w:t>
      </w:r>
    </w:p>
    <w:p>
      <w:pPr>
        <w:widowControl/>
        <w:numPr>
          <w:ilvl w:val="0"/>
          <w:numId w:val="0"/>
        </w:numPr>
        <w:spacing w:line="360" w:lineRule="auto"/>
        <w:ind w:firstLine="560" w:firstLineChars="200"/>
        <w:jc w:val="left"/>
        <w:rPr>
          <w:rFonts w:hint="eastAsia"/>
          <w:lang w:eastAsia="zh-CN"/>
        </w:rPr>
      </w:pPr>
      <w:r>
        <w:rPr>
          <w:rFonts w:hint="eastAsia" w:ascii="仿宋_GB2312" w:hAnsi="仿宋_GB2312" w:eastAsia="仿宋_GB2312" w:cs="仿宋_GB2312"/>
          <w:sz w:val="28"/>
          <w:szCs w:val="28"/>
          <w:lang w:val="en-US" w:eastAsia="zh-CN"/>
        </w:rPr>
        <w:t>一级项目：学前教育业务经费项目</w:t>
      </w:r>
    </w:p>
    <w:p>
      <w:pPr>
        <w:widowControl/>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二级项目：公益性岗位工资</w:t>
      </w:r>
    </w:p>
    <w:p>
      <w:pPr>
        <w:widowControl/>
        <w:numPr>
          <w:ilvl w:val="0"/>
          <w:numId w:val="0"/>
        </w:num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（1）项目概述：打造优秀教师团队，提高教师素质。</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中共南昌市委机关幼儿园</w:t>
      </w:r>
    </w:p>
    <w:p>
      <w:pPr>
        <w:widowControl/>
        <w:numPr>
          <w:ilvl w:val="0"/>
          <w:numId w:val="0"/>
        </w:num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lang w:val="en-US" w:eastAsia="zh-CN"/>
        </w:rPr>
        <w:t>日</w:t>
      </w:r>
    </w:p>
    <w:p>
      <w:pPr>
        <w:widowControl/>
        <w:numPr>
          <w:ilvl w:val="0"/>
          <w:numId w:val="0"/>
        </w:num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highlight w:val="none"/>
          <w:lang w:val="en-US" w:eastAsia="zh-CN"/>
        </w:rPr>
        <w:t>512.95</w:t>
      </w:r>
      <w:r>
        <w:rPr>
          <w:rFonts w:hint="eastAsia" w:ascii="仿宋_GB2312" w:hAnsi="仿宋_GB2312" w:eastAsia="仿宋_GB2312" w:cs="仿宋_GB2312"/>
          <w:sz w:val="28"/>
          <w:szCs w:val="28"/>
        </w:rPr>
        <w:t>万元</w:t>
      </w:r>
    </w:p>
    <w:p>
      <w:pPr>
        <w:widowControl/>
        <w:numPr>
          <w:ilvl w:val="0"/>
          <w:numId w:val="0"/>
        </w:numPr>
        <w:spacing w:line="360" w:lineRule="auto"/>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w:t>
      </w:r>
      <w:r>
        <w:rPr>
          <w:rFonts w:hint="eastAsia" w:ascii="仿宋_GB2312" w:hAnsi="仿宋_GB2312" w:eastAsia="仿宋_GB2312" w:cs="仿宋_GB2312"/>
          <w:sz w:val="28"/>
          <w:szCs w:val="28"/>
          <w:lang w:val="en-US" w:eastAsia="zh-CN"/>
        </w:rPr>
        <w:t>为幼儿园打造优秀教师团队，提高幼儿教学质量，同时提高教师素质。</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数量指标：保安人员</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人；公益性岗位</w:t>
      </w:r>
      <w:r>
        <w:rPr>
          <w:rFonts w:hint="eastAsia" w:ascii="仿宋_GB2312" w:hAnsi="仿宋_GB2312" w:eastAsia="仿宋_GB2312" w:cs="仿宋_GB2312"/>
          <w:sz w:val="28"/>
          <w:szCs w:val="28"/>
          <w:lang w:val="en-US" w:eastAsia="zh-CN"/>
        </w:rPr>
        <w:t>111</w:t>
      </w:r>
      <w:r>
        <w:rPr>
          <w:rFonts w:hint="eastAsia" w:ascii="仿宋_GB2312" w:hAnsi="仿宋_GB2312" w:eastAsia="仿宋_GB2312" w:cs="仿宋_GB2312"/>
          <w:sz w:val="28"/>
          <w:szCs w:val="28"/>
        </w:rPr>
        <w:t>人。</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质量指标：保安考核通过率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%；公益性岗位考核通过率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时效指标：保安工资发放及时率</w:t>
      </w:r>
      <w:r>
        <w:rPr>
          <w:rFonts w:hint="eastAsia" w:ascii="仿宋_GB2312" w:hAnsi="仿宋_GB2312" w:eastAsia="仿宋_GB2312" w:cs="仿宋_GB2312"/>
          <w:sz w:val="28"/>
          <w:szCs w:val="28"/>
          <w:lang w:val="en-US" w:eastAsia="zh-CN"/>
        </w:rPr>
        <w:t>100%；公益性岗位工资发放及时率100%</w:t>
      </w:r>
      <w:r>
        <w:rPr>
          <w:rFonts w:hint="eastAsia" w:ascii="仿宋_GB2312" w:hAnsi="仿宋_GB2312" w:eastAsia="仿宋_GB2312" w:cs="仿宋_GB2312"/>
          <w:sz w:val="28"/>
          <w:szCs w:val="28"/>
        </w:rPr>
        <w:t>。</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保安工资成本控制率小于等于100%；公益性岗位成本控制率小于等于100%</w:t>
      </w:r>
      <w:r>
        <w:rPr>
          <w:rFonts w:hint="eastAsia" w:ascii="仿宋_GB2312" w:hAnsi="仿宋_GB2312" w:eastAsia="仿宋_GB2312" w:cs="仿宋_GB2312"/>
          <w:sz w:val="28"/>
          <w:szCs w:val="28"/>
        </w:rPr>
        <w:t>。</w:t>
      </w:r>
    </w:p>
    <w:p>
      <w:pPr>
        <w:widowControl/>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val="en-US" w:eastAsia="zh-CN"/>
        </w:rPr>
        <w:t>显著</w:t>
      </w:r>
      <w:r>
        <w:rPr>
          <w:rFonts w:hint="eastAsia" w:ascii="仿宋_GB2312" w:hAnsi="仿宋_GB2312" w:eastAsia="仿宋_GB2312" w:cs="仿宋_GB2312"/>
          <w:sz w:val="28"/>
          <w:szCs w:val="28"/>
        </w:rPr>
        <w:t>提升市委幼儿园师资力量水平。</w:t>
      </w:r>
    </w:p>
    <w:p>
      <w:pPr>
        <w:widowControl/>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可持续影响指标：</w:t>
      </w:r>
      <w:r>
        <w:rPr>
          <w:rFonts w:hint="eastAsia" w:ascii="仿宋_GB2312" w:hAnsi="仿宋_GB2312" w:eastAsia="仿宋_GB2312" w:cs="仿宋_GB2312"/>
          <w:sz w:val="28"/>
          <w:szCs w:val="28"/>
          <w:lang w:val="en-US" w:eastAsia="zh-CN"/>
        </w:rPr>
        <w:t>项目可持续性强100%</w:t>
      </w:r>
      <w:r>
        <w:rPr>
          <w:rFonts w:hint="eastAsia" w:ascii="仿宋_GB2312" w:hAnsi="仿宋_GB2312" w:eastAsia="仿宋_GB2312" w:cs="仿宋_GB2312"/>
          <w:sz w:val="28"/>
          <w:szCs w:val="28"/>
        </w:rPr>
        <w:t>。</w:t>
      </w:r>
    </w:p>
    <w:p>
      <w:pPr>
        <w:pStyle w:val="2"/>
        <w:rPr>
          <w:rFonts w:hint="eastAsia"/>
        </w:rPr>
      </w:pPr>
      <w:r>
        <w:rPr>
          <w:rFonts w:hint="eastAsia" w:ascii="仿宋_GB2312" w:hAnsi="仿宋_GB2312" w:eastAsia="仿宋_GB2312" w:cs="仿宋_GB2312"/>
          <w:sz w:val="28"/>
          <w:szCs w:val="28"/>
        </w:rPr>
        <w:t>满意度指标：各位家长满意度</w:t>
      </w:r>
      <w:r>
        <w:rPr>
          <w:rFonts w:hint="eastAsia" w:ascii="仿宋_GB2312" w:hAnsi="仿宋_GB2312" w:eastAsia="仿宋_GB2312" w:cs="仿宋_GB2312"/>
          <w:sz w:val="28"/>
          <w:szCs w:val="28"/>
          <w:lang w:val="en-US" w:eastAsia="zh-CN"/>
        </w:rPr>
        <w:t>大于等于95%</w:t>
      </w:r>
      <w:r>
        <w:rPr>
          <w:rFonts w:hint="eastAsia" w:ascii="仿宋_GB2312" w:hAnsi="仿宋_GB2312" w:eastAsia="仿宋_GB2312" w:cs="仿宋_GB2312"/>
          <w:sz w:val="28"/>
          <w:szCs w:val="28"/>
          <w:lang w:eastAsia="zh-CN"/>
        </w:rPr>
        <w:t>。</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407.49</w:t>
      </w:r>
      <w:r>
        <w:rPr>
          <w:rFonts w:hint="eastAsia" w:ascii="仿宋_GB2312" w:eastAsia="仿宋_GB2312"/>
          <w:sz w:val="28"/>
          <w:szCs w:val="28"/>
        </w:rPr>
        <w:t>万元。其中:</w:t>
      </w:r>
    </w:p>
    <w:p>
      <w:pPr>
        <w:numPr>
          <w:ilvl w:val="0"/>
          <w:numId w:val="2"/>
        </w:num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因公出国（境）经费</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val="en-US" w:eastAsia="zh-CN"/>
        </w:rPr>
        <w:t>较上年无变动。</w:t>
      </w:r>
    </w:p>
    <w:p>
      <w:pPr>
        <w:numPr>
          <w:ilvl w:val="0"/>
          <w:numId w:val="2"/>
        </w:numPr>
        <w:spacing w:line="540" w:lineRule="exact"/>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rPr>
        <w:t>公务接待费</w:t>
      </w:r>
      <w:r>
        <w:rPr>
          <w:rFonts w:hint="eastAsia" w:ascii="仿宋_GB2312" w:eastAsia="仿宋_GB2312"/>
          <w:sz w:val="28"/>
          <w:szCs w:val="28"/>
          <w:lang w:val="en-US" w:eastAsia="zh-CN"/>
        </w:rPr>
        <w:t>15.55</w:t>
      </w:r>
      <w:r>
        <w:rPr>
          <w:rFonts w:hint="eastAsia" w:ascii="仿宋_GB2312" w:eastAsia="仿宋_GB2312"/>
          <w:sz w:val="28"/>
          <w:szCs w:val="28"/>
        </w:rPr>
        <w:t>万元，</w:t>
      </w:r>
      <w:r>
        <w:rPr>
          <w:rFonts w:hint="eastAsia" w:ascii="仿宋_GB2312" w:eastAsia="仿宋_GB2312"/>
          <w:sz w:val="28"/>
          <w:szCs w:val="28"/>
          <w:lang w:val="en-US" w:eastAsia="zh-CN"/>
        </w:rPr>
        <w:t>较上年无变动。</w:t>
      </w:r>
    </w:p>
    <w:p>
      <w:pPr>
        <w:numPr>
          <w:ilvl w:val="0"/>
          <w:numId w:val="0"/>
        </w:num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391.94</w:t>
      </w:r>
      <w:r>
        <w:rPr>
          <w:rFonts w:hint="eastAsia" w:ascii="仿宋_GB2312" w:eastAsia="仿宋_GB2312"/>
          <w:sz w:val="28"/>
          <w:szCs w:val="28"/>
        </w:rPr>
        <w:t>万元，</w:t>
      </w:r>
      <w:r>
        <w:rPr>
          <w:rFonts w:hint="eastAsia" w:ascii="仿宋_GB2312" w:eastAsia="仿宋_GB2312"/>
          <w:sz w:val="28"/>
          <w:szCs w:val="28"/>
          <w:lang w:val="en-US" w:eastAsia="zh-CN"/>
        </w:rPr>
        <w:t>较上年无变动。</w:t>
      </w:r>
    </w:p>
    <w:p>
      <w:pP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南昌市机关事务管理局2021年部门预算表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十张表（详见附件，若其中某张表为空表或表中数据为0，则说明没有相关收支预算安排。</w:t>
      </w:r>
      <w:r>
        <w:rPr>
          <w:rFonts w:hint="eastAsia" w:ascii="仿宋_GB2312" w:eastAsia="仿宋_GB2312"/>
          <w:sz w:val="28"/>
          <w:szCs w:val="28"/>
          <w:lang w:eastAsia="zh-CN"/>
        </w:rPr>
        <w:t>）</w:t>
      </w:r>
    </w:p>
    <w:p>
      <w:pPr>
        <w:widowControl/>
        <w:spacing w:line="540" w:lineRule="exact"/>
        <w:jc w:val="left"/>
        <w:rPr>
          <w:rFonts w:hint="eastAsia" w:ascii="仿宋_GB2312" w:eastAsia="仿宋_GB2312"/>
          <w:sz w:val="28"/>
          <w:szCs w:val="28"/>
        </w:rPr>
      </w:pPr>
    </w:p>
    <w:p>
      <w:pPr>
        <w:rPr>
          <w:rFonts w:hint="eastAsia" w:ascii="方正小标宋简体" w:eastAsia="方正小标宋简体"/>
          <w:sz w:val="28"/>
          <w:szCs w:val="28"/>
        </w:rPr>
      </w:pPr>
    </w:p>
    <w:p>
      <w:pPr>
        <w:rPr>
          <w:rFonts w:hint="eastAsia" w:ascii="方正小标宋简体" w:eastAsia="方正小标宋简体"/>
          <w:sz w:val="28"/>
          <w:szCs w:val="28"/>
        </w:rPr>
      </w:pPr>
    </w:p>
    <w:p>
      <w:pPr>
        <w:rPr>
          <w:rFonts w:hint="eastAsia" w:ascii="方正小标宋简体" w:eastAsia="方正小标宋简体"/>
          <w:sz w:val="28"/>
          <w:szCs w:val="28"/>
        </w:rPr>
      </w:pPr>
    </w:p>
    <w:p>
      <w:pPr>
        <w:rPr>
          <w:rFonts w:hint="eastAsia" w:ascii="方正小标宋简体" w:eastAsia="方正小标宋简体"/>
          <w:sz w:val="28"/>
          <w:szCs w:val="28"/>
        </w:rPr>
      </w:pPr>
    </w:p>
    <w:p>
      <w:pPr>
        <w:rPr>
          <w:rFonts w:hint="eastAsia" w:ascii="方正小标宋简体" w:eastAsia="方正小标宋简体"/>
          <w:sz w:val="28"/>
          <w:szCs w:val="28"/>
        </w:rPr>
      </w:pPr>
    </w:p>
    <w:p>
      <w:pPr>
        <w:rPr>
          <w:rFonts w:hint="eastAsia" w:ascii="方正小标宋简体" w:eastAsia="方正小标宋简体"/>
          <w:sz w:val="28"/>
          <w:szCs w:val="28"/>
        </w:rPr>
      </w:pPr>
    </w:p>
    <w:p>
      <w:pPr>
        <w:pStyle w:val="2"/>
        <w:rPr>
          <w:rFonts w:hint="eastAsia"/>
        </w:rPr>
      </w:pPr>
    </w:p>
    <w:p>
      <w:pP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服务支出（类）人大事务（款）机关服务（项）：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一般公共服务支出（类）政协事务（款）机关服务（项）：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一般公共服务支出（类）政府办公厅（室）及相关机构事务（款）行政运行（项）：反映行政单位（包括实行公务员管理的事业单位)的基本支出。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四）</w:t>
      </w:r>
      <w:r>
        <w:rPr>
          <w:rFonts w:hint="eastAsia" w:ascii="仿宋_GB2312" w:eastAsia="仿宋_GB2312"/>
          <w:sz w:val="28"/>
          <w:szCs w:val="28"/>
        </w:rPr>
        <w:t>一般公共服务支出（类）政府办公厅（室）及相关机构事务（款）一般行政管理事务（项）：反映行政单位（包括实行公务员管理的事业单位)未单独设置项级科目的其他项目支出。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五）</w:t>
      </w:r>
      <w:r>
        <w:rPr>
          <w:rFonts w:hint="eastAsia" w:ascii="仿宋_GB2312" w:eastAsia="仿宋_GB2312"/>
          <w:sz w:val="28"/>
          <w:szCs w:val="28"/>
        </w:rPr>
        <w:t>一般公共服务支出（类）政府办公厅（室）及相关机构事务（款）机关服务（项）：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六）</w:t>
      </w:r>
      <w:r>
        <w:rPr>
          <w:rFonts w:hint="eastAsia" w:ascii="仿宋_GB2312" w:eastAsia="仿宋_GB2312"/>
          <w:sz w:val="28"/>
          <w:szCs w:val="28"/>
        </w:rPr>
        <w:t>一般公共服务支出（类）政府办公厅（室）及相关机构事务（款）专项业务及机关事务管理（项）：反映各级政府举行各类重大活动、召开重要会议（如国务院一类会议、国庆招待会、全国劳模大会）的支出，政府机关房地产管理、公务用车管理等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七）</w:t>
      </w:r>
      <w:r>
        <w:rPr>
          <w:rFonts w:hint="eastAsia" w:ascii="仿宋_GB2312" w:eastAsia="仿宋_GB2312"/>
          <w:sz w:val="28"/>
          <w:szCs w:val="28"/>
        </w:rPr>
        <w:t>一般公共服务支出（类）政府办公厅（室）及相关机构事务（款）事业运行（项）：反映事业单位的基本支出，不包括行政单位（包括实行公务员管理的事业单位)后勤服务中心、医务室等附属事业单位。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default" w:ascii="仿宋_GB2312" w:eastAsia="仿宋_GB2312"/>
          <w:sz w:val="28"/>
          <w:szCs w:val="28"/>
          <w:lang w:val="en-US" w:eastAsia="zh-CN"/>
        </w:rPr>
      </w:pPr>
      <w:r>
        <w:rPr>
          <w:rFonts w:hint="eastAsia" w:ascii="楷体_GB2312" w:eastAsia="楷体_GB2312"/>
          <w:b/>
          <w:sz w:val="28"/>
          <w:szCs w:val="28"/>
          <w:lang w:val="en-US" w:eastAsia="zh-CN"/>
        </w:rPr>
        <w:t>（八）</w:t>
      </w:r>
      <w:r>
        <w:rPr>
          <w:rFonts w:hint="eastAsia" w:ascii="仿宋_GB2312" w:eastAsia="仿宋_GB2312"/>
          <w:sz w:val="28"/>
          <w:szCs w:val="28"/>
        </w:rPr>
        <w:t>一般公共服务支出（类）政府办公厅（室）及相关机构事务（款）其他政府办公厅（室）及相关机构事务支出（项）：反映除上述项目以外的其他政府办公厅（室）及相关机构事务支出。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lang w:val="en-US" w:eastAsia="zh-CN"/>
        </w:rPr>
        <w:t>（九）</w:t>
      </w:r>
      <w:r>
        <w:rPr>
          <w:rFonts w:hint="eastAsia" w:ascii="仿宋_GB2312" w:eastAsia="仿宋_GB2312"/>
          <w:sz w:val="28"/>
          <w:szCs w:val="28"/>
        </w:rPr>
        <w:t>一般公共服务支出（类）党委办公厅（室）及相关机构事务（款）机关服务（项）：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w:t>
      </w:r>
      <w:r>
        <w:rPr>
          <w:rFonts w:hint="eastAsia" w:ascii="仿宋_GB2312" w:eastAsia="仿宋_GB2312"/>
          <w:sz w:val="28"/>
          <w:szCs w:val="28"/>
          <w:lang w:val="en-US" w:eastAsia="zh-CN"/>
        </w:rPr>
        <w:t>教育支出</w:t>
      </w:r>
      <w:r>
        <w:rPr>
          <w:rFonts w:hint="eastAsia" w:ascii="仿宋_GB2312" w:eastAsia="仿宋_GB2312"/>
          <w:sz w:val="28"/>
          <w:szCs w:val="28"/>
        </w:rPr>
        <w:t>（类）普通教育（款）学前教育（项）</w:t>
      </w:r>
      <w:r>
        <w:rPr>
          <w:rFonts w:hint="eastAsia" w:ascii="仿宋_GB2312" w:eastAsia="仿宋_GB2312"/>
          <w:sz w:val="28"/>
          <w:szCs w:val="28"/>
          <w:lang w:eastAsia="zh-CN"/>
        </w:rPr>
        <w:t>：反映各部门举办的学前教育支出。政府各部门对社会组织等举办的幼儿园的资助，如捐赠、补贴等，也在本科目中反映。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十一）</w:t>
      </w:r>
      <w:r>
        <w:rPr>
          <w:rFonts w:hint="eastAsia" w:ascii="仿宋_GB2312" w:eastAsia="仿宋_GB2312"/>
          <w:sz w:val="28"/>
          <w:szCs w:val="28"/>
          <w:lang w:val="en-US" w:eastAsia="zh-CN"/>
        </w:rPr>
        <w:t>教育支出</w:t>
      </w:r>
      <w:r>
        <w:rPr>
          <w:rFonts w:hint="eastAsia" w:ascii="仿宋_GB2312" w:eastAsia="仿宋_GB2312"/>
          <w:sz w:val="28"/>
          <w:szCs w:val="28"/>
        </w:rPr>
        <w:t>（类）普通教育（款）其他普通教育支出（项）</w:t>
      </w:r>
      <w:r>
        <w:rPr>
          <w:rFonts w:hint="eastAsia" w:ascii="仿宋_GB2312" w:eastAsia="仿宋_GB2312"/>
          <w:sz w:val="28"/>
          <w:szCs w:val="28"/>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十二）</w:t>
      </w:r>
      <w:r>
        <w:rPr>
          <w:rFonts w:hint="eastAsia" w:ascii="仿宋_GB2312" w:eastAsia="仿宋_GB2312"/>
          <w:sz w:val="28"/>
          <w:szCs w:val="28"/>
          <w:lang w:val="en-US" w:eastAsia="zh-CN"/>
        </w:rPr>
        <w:t>社会保障和就业支出</w:t>
      </w:r>
      <w:r>
        <w:rPr>
          <w:rFonts w:hint="eastAsia" w:ascii="仿宋_GB2312" w:eastAsia="仿宋_GB2312"/>
          <w:sz w:val="28"/>
          <w:szCs w:val="28"/>
        </w:rPr>
        <w:t>（类）行政事业单位养老支出（款）行政单位离退休（项）</w:t>
      </w:r>
      <w:r>
        <w:rPr>
          <w:rFonts w:hint="eastAsia" w:ascii="仿宋_GB2312" w:eastAsia="仿宋_GB2312"/>
          <w:sz w:val="28"/>
          <w:szCs w:val="28"/>
          <w:lang w:eastAsia="zh-CN"/>
        </w:rPr>
        <w:t>：反映行政单位（包括实行公务员管理的事业单位)开支的离退休经费。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十三）</w:t>
      </w:r>
      <w:r>
        <w:rPr>
          <w:rFonts w:hint="eastAsia" w:ascii="仿宋_GB2312" w:eastAsia="仿宋_GB2312"/>
          <w:sz w:val="28"/>
          <w:szCs w:val="28"/>
          <w:lang w:val="en-US" w:eastAsia="zh-CN"/>
        </w:rPr>
        <w:t>社会保障和就业支出</w:t>
      </w:r>
      <w:r>
        <w:rPr>
          <w:rFonts w:hint="eastAsia" w:ascii="仿宋_GB2312" w:eastAsia="仿宋_GB2312"/>
          <w:sz w:val="28"/>
          <w:szCs w:val="28"/>
        </w:rPr>
        <w:t>（类）行政事业单位养老支出（款）事业单位离退休（项）</w:t>
      </w:r>
      <w:r>
        <w:rPr>
          <w:rFonts w:hint="eastAsia" w:ascii="仿宋_GB2312" w:eastAsia="仿宋_GB2312"/>
          <w:sz w:val="28"/>
          <w:szCs w:val="28"/>
          <w:lang w:eastAsia="zh-CN"/>
        </w:rPr>
        <w:t>：反映事业单位开支的离退休经费。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default" w:ascii="仿宋_GB2312" w:eastAsia="仿宋_GB2312"/>
          <w:sz w:val="28"/>
          <w:szCs w:val="28"/>
          <w:lang w:val="en-US"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十四）</w:t>
      </w:r>
      <w:r>
        <w:rPr>
          <w:rFonts w:hint="eastAsia" w:ascii="仿宋_GB2312" w:eastAsia="仿宋_GB2312"/>
          <w:sz w:val="28"/>
          <w:szCs w:val="28"/>
          <w:lang w:val="en-US" w:eastAsia="zh-CN"/>
        </w:rPr>
        <w:t>社会保障和就业支出</w:t>
      </w:r>
      <w:r>
        <w:rPr>
          <w:rFonts w:hint="eastAsia" w:ascii="仿宋_GB2312" w:eastAsia="仿宋_GB2312"/>
          <w:sz w:val="28"/>
          <w:szCs w:val="28"/>
        </w:rPr>
        <w:t>（类）行政事业单位养老支出（款）机关事业单位基本养老保险缴费支出（项）</w:t>
      </w:r>
      <w:r>
        <w:rPr>
          <w:rFonts w:hint="eastAsia" w:ascii="仿宋_GB2312" w:eastAsia="仿宋_GB2312"/>
          <w:sz w:val="28"/>
          <w:szCs w:val="28"/>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default" w:ascii="仿宋_GB2312" w:eastAsia="仿宋_GB2312"/>
          <w:sz w:val="28"/>
          <w:szCs w:val="28"/>
          <w:lang w:val="en-US"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十五）</w:t>
      </w:r>
      <w:r>
        <w:rPr>
          <w:rFonts w:hint="eastAsia" w:ascii="仿宋_GB2312" w:eastAsia="仿宋_GB2312"/>
          <w:sz w:val="28"/>
          <w:szCs w:val="28"/>
          <w:lang w:val="en-US" w:eastAsia="zh-CN"/>
        </w:rPr>
        <w:t>社会保障和就业支出</w:t>
      </w:r>
      <w:r>
        <w:rPr>
          <w:rFonts w:hint="eastAsia" w:ascii="仿宋_GB2312" w:eastAsia="仿宋_GB2312"/>
          <w:sz w:val="28"/>
          <w:szCs w:val="28"/>
        </w:rPr>
        <w:t>（类）行政事业单位养老支出（款）机关事业单位职业年金缴费支出（项）</w:t>
      </w:r>
      <w:r>
        <w:rPr>
          <w:rFonts w:hint="eastAsia" w:ascii="仿宋_GB2312" w:eastAsia="仿宋_GB2312"/>
          <w:sz w:val="28"/>
          <w:szCs w:val="28"/>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十六）</w:t>
      </w:r>
      <w:r>
        <w:rPr>
          <w:rFonts w:hint="eastAsia" w:ascii="仿宋_GB2312" w:eastAsia="仿宋_GB2312"/>
          <w:sz w:val="28"/>
          <w:szCs w:val="28"/>
          <w:lang w:val="en-US" w:eastAsia="zh-CN"/>
        </w:rPr>
        <w:t>城乡社区支出</w:t>
      </w:r>
      <w:r>
        <w:rPr>
          <w:rFonts w:hint="eastAsia" w:ascii="仿宋_GB2312" w:eastAsia="仿宋_GB2312"/>
          <w:sz w:val="28"/>
          <w:szCs w:val="28"/>
        </w:rPr>
        <w:t>（类）其他城乡社区支出（款）其他城乡社区支出（项）</w:t>
      </w:r>
      <w:r>
        <w:rPr>
          <w:rFonts w:hint="eastAsia" w:ascii="仿宋_GB2312" w:eastAsia="仿宋_GB2312"/>
          <w:sz w:val="28"/>
          <w:szCs w:val="28"/>
          <w:lang w:eastAsia="zh-CN"/>
        </w:rPr>
        <w:t>：反映除上述项目以外其他用于城乡社区方面的支出。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十七）</w:t>
      </w:r>
      <w:r>
        <w:rPr>
          <w:rFonts w:hint="eastAsia" w:ascii="仿宋_GB2312" w:eastAsia="仿宋_GB2312"/>
          <w:sz w:val="28"/>
          <w:szCs w:val="28"/>
          <w:lang w:val="en-US" w:eastAsia="zh-CN"/>
        </w:rPr>
        <w:t>资源勘探工业信息等支出</w:t>
      </w:r>
      <w:r>
        <w:rPr>
          <w:rFonts w:hint="eastAsia" w:ascii="仿宋_GB2312" w:eastAsia="仿宋_GB2312"/>
          <w:sz w:val="28"/>
          <w:szCs w:val="28"/>
        </w:rPr>
        <w:t>（类）其他资源勘探信息等支出（款）其他资源勘探信息等支出（项）</w:t>
      </w:r>
      <w:r>
        <w:rPr>
          <w:rFonts w:hint="eastAsia" w:ascii="仿宋_GB2312" w:eastAsia="仿宋_GB2312"/>
          <w:sz w:val="28"/>
          <w:szCs w:val="28"/>
          <w:lang w:eastAsia="zh-CN"/>
        </w:rPr>
        <w:t>：反映除上述项目以外其他用于资源勘探工业信息等方面的支出。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eastAsia="zh-CN"/>
        </w:rPr>
        <w:t>（</w:t>
      </w:r>
      <w:r>
        <w:rPr>
          <w:rFonts w:hint="eastAsia" w:ascii="楷体_GB2312" w:eastAsia="楷体_GB2312"/>
          <w:b/>
          <w:sz w:val="28"/>
          <w:szCs w:val="28"/>
          <w:lang w:val="en-US" w:eastAsia="zh-CN"/>
        </w:rPr>
        <w:t>十八）</w:t>
      </w:r>
      <w:r>
        <w:rPr>
          <w:rFonts w:hint="eastAsia" w:ascii="仿宋_GB2312" w:eastAsia="仿宋_GB2312"/>
          <w:sz w:val="28"/>
          <w:szCs w:val="28"/>
          <w:lang w:val="en-US" w:eastAsia="zh-CN"/>
        </w:rPr>
        <w:t>住房保障支出</w:t>
      </w:r>
      <w:r>
        <w:rPr>
          <w:rFonts w:hint="eastAsia" w:ascii="仿宋_GB2312" w:eastAsia="仿宋_GB2312"/>
          <w:sz w:val="28"/>
          <w:szCs w:val="28"/>
        </w:rPr>
        <w:t>（类）住房改革支出（款）住房公积金（项）</w:t>
      </w:r>
      <w:r>
        <w:rPr>
          <w:rFonts w:hint="eastAsia" w:ascii="仿宋_GB2312" w:eastAsia="仿宋_GB2312"/>
          <w:sz w:val="28"/>
          <w:szCs w:val="28"/>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仿宋_GB2312" w:eastAsia="仿宋_GB2312"/>
          <w:sz w:val="28"/>
          <w:szCs w:val="28"/>
          <w:lang w:eastAsia="zh-CN"/>
        </w:rPr>
      </w:pPr>
      <w:r>
        <w:rPr>
          <w:rFonts w:hint="eastAsia" w:ascii="楷体_GB2312" w:eastAsia="楷体_GB2312"/>
          <w:b/>
          <w:sz w:val="28"/>
          <w:szCs w:val="28"/>
          <w:lang w:val="en-US" w:eastAsia="zh-CN"/>
        </w:rPr>
        <w:t>（十九）</w:t>
      </w:r>
      <w:r>
        <w:rPr>
          <w:rFonts w:hint="eastAsia" w:ascii="仿宋_GB2312" w:eastAsia="仿宋_GB2312"/>
          <w:sz w:val="28"/>
          <w:szCs w:val="28"/>
          <w:lang w:val="en-US" w:eastAsia="zh-CN"/>
        </w:rPr>
        <w:t>住房保障支出</w:t>
      </w:r>
      <w:r>
        <w:rPr>
          <w:rFonts w:hint="eastAsia" w:ascii="仿宋_GB2312" w:eastAsia="仿宋_GB2312"/>
          <w:sz w:val="28"/>
          <w:szCs w:val="28"/>
        </w:rPr>
        <w:t>（类）住房改革支出（款）购房补贴（项）</w:t>
      </w:r>
      <w:r>
        <w:rPr>
          <w:rFonts w:hint="eastAsia" w:ascii="仿宋_GB2312" w:eastAsia="仿宋_GB2312"/>
          <w:sz w:val="28"/>
          <w:szCs w:val="28"/>
          <w:lang w:eastAsia="zh-CN"/>
        </w:rPr>
        <w:t>：反映按房改政策规定，行政事业单位向符合条件职工（含离退休人员)、军队（含武警）向转役复员离退休人员发放的用于购买住房的补贴。</w:t>
      </w:r>
    </w:p>
    <w:p>
      <w:pPr>
        <w:spacing w:line="540" w:lineRule="exact"/>
        <w:ind w:left="559" w:leftChars="266" w:firstLine="0" w:firstLineChars="0"/>
        <w:rPr>
          <w:rFonts w:hint="default" w:ascii="仿宋_GB2312" w:eastAsia="仿宋_GB2312"/>
          <w:sz w:val="28"/>
          <w:szCs w:val="28"/>
          <w:lang w:val="en-US" w:eastAsia="zh-CN"/>
        </w:rPr>
      </w:pPr>
    </w:p>
    <w:p>
      <w:pPr>
        <w:spacing w:line="540" w:lineRule="exact"/>
        <w:ind w:left="559" w:leftChars="266" w:firstLine="0" w:firstLineChars="0"/>
        <w:rPr>
          <w:rFonts w:hint="default" w:ascii="仿宋_GB2312" w:eastAsia="仿宋_GB2312"/>
          <w:sz w:val="28"/>
          <w:szCs w:val="28"/>
          <w:lang w:val="en-US" w:eastAsia="zh-CN"/>
        </w:rPr>
      </w:pPr>
    </w:p>
    <w:p>
      <w:pPr>
        <w:spacing w:line="540" w:lineRule="exact"/>
        <w:ind w:left="559" w:leftChars="266" w:firstLine="0" w:firstLineChars="0"/>
        <w:rPr>
          <w:rFonts w:hint="eastAsia" w:ascii="仿宋_GB2312" w:eastAsia="仿宋_GB2312"/>
          <w:sz w:val="28"/>
          <w:szCs w:val="28"/>
        </w:rPr>
      </w:pPr>
    </w:p>
    <w:p>
      <w:pPr>
        <w:spacing w:line="540" w:lineRule="exact"/>
        <w:ind w:left="559" w:leftChars="266" w:firstLine="0" w:firstLineChars="0"/>
        <w:rPr>
          <w:rFonts w:hint="eastAsia" w:ascii="仿宋_GB2312" w:eastAsia="仿宋_GB2312"/>
          <w:sz w:val="28"/>
          <w:szCs w:val="28"/>
        </w:rPr>
      </w:pPr>
    </w:p>
    <w:p>
      <w:pPr>
        <w:spacing w:line="540" w:lineRule="exact"/>
        <w:ind w:left="559" w:leftChars="266" w:firstLine="0" w:firstLineChars="0"/>
        <w:rPr>
          <w:rFonts w:hint="default" w:ascii="仿宋_GB2312" w:eastAsia="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89B2B"/>
    <w:multiLevelType w:val="singleLevel"/>
    <w:tmpl w:val="BA289B2B"/>
    <w:lvl w:ilvl="0" w:tentative="0">
      <w:start w:val="1"/>
      <w:numFmt w:val="decimal"/>
      <w:suff w:val="nothing"/>
      <w:lvlText w:val="（%1）"/>
      <w:lvlJc w:val="left"/>
    </w:lvl>
  </w:abstractNum>
  <w:abstractNum w:abstractNumId="1">
    <w:nsid w:val="31183AF6"/>
    <w:multiLevelType w:val="singleLevel"/>
    <w:tmpl w:val="31183AF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D0B70"/>
    <w:rsid w:val="31592146"/>
    <w:rsid w:val="518D0B70"/>
    <w:rsid w:val="5A214AA4"/>
    <w:rsid w:val="66A42FED"/>
    <w:rsid w:val="6DF02B12"/>
    <w:rsid w:val="742E3016"/>
    <w:rsid w:val="7B6B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2021-03-25T01:48:00Z</dcterms:created>
  <dc:creator>NQW</dc:creator>
  <cp:lastModifiedBy> 阿司匹林</cp:lastModifiedBy>
  <dcterms:modified xsi:type="dcterms:W3CDTF">2021-04-02T06:58:17Z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0B56CA3BC9554F31887EBFBB3ECF0333</vt:lpwstr>
  </property>
</Properties>
</file>